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2662" w:rsidRPr="007A2D34" w:rsidRDefault="00D32662" w:rsidP="0076657A">
      <w:pPr>
        <w:pStyle w:val="10"/>
        <w:spacing w:line="600" w:lineRule="exact"/>
        <w:ind w:firstLineChars="0" w:firstLine="0"/>
        <w:contextualSpacing/>
        <w:jc w:val="center"/>
        <w:rPr>
          <w:rFonts w:eastAsia="方正小标宋简体"/>
          <w:kern w:val="0"/>
          <w:sz w:val="44"/>
          <w:szCs w:val="44"/>
        </w:rPr>
      </w:pPr>
      <w:r w:rsidRPr="007A2D34">
        <w:rPr>
          <w:rFonts w:eastAsia="方正小标宋简体"/>
          <w:sz w:val="44"/>
          <w:szCs w:val="44"/>
        </w:rPr>
        <w:t>乐山高新区地方政府债务信息公开办法</w:t>
      </w:r>
      <w:r w:rsidRPr="007A2D34">
        <w:rPr>
          <w:rFonts w:eastAsia="方正小标宋简体"/>
          <w:kern w:val="0"/>
          <w:sz w:val="44"/>
          <w:szCs w:val="44"/>
        </w:rPr>
        <w:t>（试行）</w:t>
      </w:r>
    </w:p>
    <w:p w:rsidR="009B21C0" w:rsidRPr="007A2D34" w:rsidRDefault="009B21C0" w:rsidP="009B21C0">
      <w:pPr>
        <w:pStyle w:val="10"/>
        <w:spacing w:line="600" w:lineRule="exact"/>
        <w:ind w:firstLineChars="0" w:firstLine="0"/>
        <w:contextualSpacing/>
        <w:rPr>
          <w:rFonts w:eastAsia="方正小标宋简体"/>
          <w:sz w:val="44"/>
          <w:szCs w:val="44"/>
        </w:rPr>
      </w:pPr>
    </w:p>
    <w:p w:rsidR="009B21C0" w:rsidRPr="007A2D34" w:rsidRDefault="00D32662" w:rsidP="002B14E2">
      <w:pPr>
        <w:widowControl/>
        <w:ind w:firstLineChars="200" w:firstLine="632"/>
        <w:contextualSpacing/>
        <w:rPr>
          <w:kern w:val="0"/>
          <w:szCs w:val="32"/>
        </w:rPr>
      </w:pPr>
      <w:r w:rsidRPr="007A2D34">
        <w:rPr>
          <w:rFonts w:eastAsia="楷体_GB2312"/>
          <w:bCs/>
          <w:kern w:val="0"/>
          <w:szCs w:val="32"/>
        </w:rPr>
        <w:t>第一条</w:t>
      </w:r>
      <w:r w:rsidR="009B21C0" w:rsidRPr="007A2D34">
        <w:rPr>
          <w:bCs/>
          <w:kern w:val="0"/>
          <w:szCs w:val="32"/>
        </w:rPr>
        <w:t xml:space="preserve"> </w:t>
      </w:r>
      <w:r w:rsidRPr="007A2D34">
        <w:rPr>
          <w:bCs/>
          <w:kern w:val="0"/>
          <w:szCs w:val="32"/>
        </w:rPr>
        <w:t>目的和依据</w:t>
      </w:r>
      <w:r w:rsidR="009B21C0" w:rsidRPr="007A2D34">
        <w:rPr>
          <w:bCs/>
          <w:kern w:val="0"/>
          <w:szCs w:val="32"/>
        </w:rPr>
        <w:t>。</w:t>
      </w:r>
      <w:r w:rsidRPr="007A2D34">
        <w:rPr>
          <w:kern w:val="0"/>
          <w:szCs w:val="32"/>
        </w:rPr>
        <w:t>为依法规范地方政府债务管理，切实增强地方政府债务信息透明度，自觉接受监督，防范地方政府债务风险</w:t>
      </w:r>
      <w:r w:rsidRPr="007A2D34">
        <w:rPr>
          <w:kern w:val="0"/>
          <w:szCs w:val="32"/>
        </w:rPr>
        <w:t>,</w:t>
      </w:r>
      <w:r w:rsidRPr="007A2D34">
        <w:rPr>
          <w:kern w:val="0"/>
          <w:szCs w:val="32"/>
        </w:rPr>
        <w:t>根据《中华人民共和国预算法》《中华人民共和国政府信息公开条例》《国务院关于加强地方政府性债务管理的意见》（国发〔</w:t>
      </w:r>
      <w:r w:rsidRPr="007A2D34">
        <w:rPr>
          <w:kern w:val="0"/>
          <w:szCs w:val="32"/>
        </w:rPr>
        <w:t>2014</w:t>
      </w:r>
      <w:r w:rsidRPr="007A2D34">
        <w:rPr>
          <w:kern w:val="0"/>
          <w:szCs w:val="32"/>
        </w:rPr>
        <w:t>〕</w:t>
      </w:r>
      <w:r w:rsidRPr="007A2D34">
        <w:rPr>
          <w:kern w:val="0"/>
          <w:szCs w:val="32"/>
        </w:rPr>
        <w:t>43</w:t>
      </w:r>
      <w:r w:rsidRPr="007A2D34">
        <w:rPr>
          <w:kern w:val="0"/>
          <w:szCs w:val="32"/>
        </w:rPr>
        <w:t>号）等法律法规和制度规定，制定本办法。</w:t>
      </w:r>
    </w:p>
    <w:p w:rsidR="009B21C0" w:rsidRPr="007A2D34" w:rsidRDefault="00D32662" w:rsidP="002B14E2">
      <w:pPr>
        <w:widowControl/>
        <w:ind w:firstLineChars="200" w:firstLine="632"/>
        <w:contextualSpacing/>
        <w:rPr>
          <w:kern w:val="0"/>
          <w:szCs w:val="32"/>
        </w:rPr>
      </w:pPr>
      <w:r w:rsidRPr="007A2D34">
        <w:rPr>
          <w:rFonts w:eastAsia="楷体_GB2312"/>
          <w:bCs/>
          <w:kern w:val="0"/>
          <w:szCs w:val="32"/>
        </w:rPr>
        <w:t>第二条</w:t>
      </w:r>
      <w:r w:rsidR="009B21C0" w:rsidRPr="007A2D34">
        <w:rPr>
          <w:bCs/>
          <w:kern w:val="0"/>
          <w:szCs w:val="32"/>
        </w:rPr>
        <w:t xml:space="preserve"> </w:t>
      </w:r>
      <w:r w:rsidRPr="007A2D34">
        <w:rPr>
          <w:bCs/>
          <w:kern w:val="0"/>
          <w:szCs w:val="32"/>
        </w:rPr>
        <w:t>适用范围</w:t>
      </w:r>
      <w:r w:rsidR="009B21C0" w:rsidRPr="007A2D34">
        <w:rPr>
          <w:bCs/>
          <w:kern w:val="0"/>
          <w:szCs w:val="32"/>
        </w:rPr>
        <w:t>。</w:t>
      </w:r>
      <w:r w:rsidRPr="007A2D34">
        <w:rPr>
          <w:kern w:val="0"/>
          <w:szCs w:val="32"/>
        </w:rPr>
        <w:t>本办法适用于地方政府债务信息公开工作。</w:t>
      </w:r>
    </w:p>
    <w:p w:rsidR="009B21C0" w:rsidRPr="007A2D34" w:rsidRDefault="00D32662" w:rsidP="002B14E2">
      <w:pPr>
        <w:widowControl/>
        <w:ind w:firstLineChars="200" w:firstLine="632"/>
        <w:contextualSpacing/>
        <w:rPr>
          <w:kern w:val="0"/>
          <w:szCs w:val="32"/>
        </w:rPr>
      </w:pPr>
      <w:r w:rsidRPr="007A2D34">
        <w:rPr>
          <w:kern w:val="0"/>
          <w:szCs w:val="32"/>
        </w:rPr>
        <w:t>本办法所称地方政府债务包括地方政府一般债务和地方政府专项债务；地方政府债务信息包括预决算公开范围的地方政府债务限额、余额等信息以及预决算公开范围之外的地方政府债券发行、存续期、重大事项等相关信息；重大事项是指可能引起地方政府一般债券、专项债券投资价值发生增减变化，影响投资者合法权益的相关事项。</w:t>
      </w:r>
    </w:p>
    <w:p w:rsidR="009B21C0" w:rsidRPr="007A2D34" w:rsidRDefault="00D32662" w:rsidP="002B14E2">
      <w:pPr>
        <w:widowControl/>
        <w:ind w:firstLineChars="200" w:firstLine="632"/>
        <w:contextualSpacing/>
        <w:rPr>
          <w:kern w:val="0"/>
          <w:szCs w:val="32"/>
        </w:rPr>
      </w:pPr>
      <w:r w:rsidRPr="007A2D34">
        <w:rPr>
          <w:rFonts w:eastAsia="楷体_GB2312"/>
          <w:bCs/>
          <w:kern w:val="0"/>
          <w:szCs w:val="32"/>
        </w:rPr>
        <w:t>第三条</w:t>
      </w:r>
      <w:r w:rsidR="009B21C0" w:rsidRPr="007A2D34">
        <w:rPr>
          <w:bCs/>
          <w:kern w:val="0"/>
          <w:szCs w:val="32"/>
        </w:rPr>
        <w:t xml:space="preserve"> </w:t>
      </w:r>
      <w:r w:rsidRPr="007A2D34">
        <w:rPr>
          <w:bCs/>
          <w:kern w:val="0"/>
          <w:szCs w:val="32"/>
        </w:rPr>
        <w:t>公开原则</w:t>
      </w:r>
      <w:r w:rsidR="009B21C0" w:rsidRPr="007A2D34">
        <w:rPr>
          <w:bCs/>
          <w:kern w:val="0"/>
          <w:szCs w:val="32"/>
        </w:rPr>
        <w:t>。</w:t>
      </w:r>
      <w:r w:rsidRPr="007A2D34">
        <w:rPr>
          <w:kern w:val="0"/>
          <w:szCs w:val="32"/>
        </w:rPr>
        <w:t>地方政府债务信息公开应当遵循以下原则：</w:t>
      </w:r>
    </w:p>
    <w:p w:rsidR="009B21C0" w:rsidRPr="007A2D34" w:rsidRDefault="00D32662" w:rsidP="002B14E2">
      <w:pPr>
        <w:widowControl/>
        <w:ind w:firstLineChars="200" w:firstLine="632"/>
        <w:contextualSpacing/>
        <w:rPr>
          <w:kern w:val="0"/>
          <w:szCs w:val="32"/>
        </w:rPr>
      </w:pPr>
      <w:r w:rsidRPr="007A2D34">
        <w:rPr>
          <w:kern w:val="0"/>
          <w:szCs w:val="32"/>
        </w:rPr>
        <w:t>（一）坚持以公开为常态、不公开为例外；</w:t>
      </w:r>
    </w:p>
    <w:p w:rsidR="009B21C0" w:rsidRPr="007A2D34" w:rsidRDefault="00D32662" w:rsidP="002B14E2">
      <w:pPr>
        <w:widowControl/>
        <w:ind w:firstLineChars="200" w:firstLine="632"/>
        <w:contextualSpacing/>
        <w:rPr>
          <w:kern w:val="0"/>
          <w:szCs w:val="32"/>
        </w:rPr>
      </w:pPr>
      <w:r w:rsidRPr="007A2D34">
        <w:rPr>
          <w:kern w:val="0"/>
          <w:szCs w:val="32"/>
        </w:rPr>
        <w:t>（二）坚持谁制作、谁负责、谁公开；</w:t>
      </w:r>
    </w:p>
    <w:p w:rsidR="009B21C0" w:rsidRPr="007A2D34" w:rsidRDefault="00D32662" w:rsidP="002B14E2">
      <w:pPr>
        <w:widowControl/>
        <w:ind w:firstLineChars="200" w:firstLine="632"/>
        <w:contextualSpacing/>
        <w:rPr>
          <w:kern w:val="0"/>
          <w:szCs w:val="32"/>
        </w:rPr>
      </w:pPr>
      <w:r w:rsidRPr="007A2D34">
        <w:rPr>
          <w:kern w:val="0"/>
          <w:szCs w:val="32"/>
        </w:rPr>
        <w:t>（三）坚持突出重点，真实、准确、完整、及时公开；</w:t>
      </w:r>
    </w:p>
    <w:p w:rsidR="009B21C0" w:rsidRPr="007A2D34" w:rsidRDefault="00D32662" w:rsidP="002B14E2">
      <w:pPr>
        <w:widowControl/>
        <w:ind w:firstLineChars="200" w:firstLine="632"/>
        <w:contextualSpacing/>
        <w:rPr>
          <w:kern w:val="0"/>
          <w:szCs w:val="32"/>
        </w:rPr>
      </w:pPr>
      <w:r w:rsidRPr="007A2D34">
        <w:rPr>
          <w:kern w:val="0"/>
          <w:szCs w:val="32"/>
        </w:rPr>
        <w:t>（四）坚持以公开促改革、以公开促规范，推进国家治理体系和治理能力现代化。</w:t>
      </w:r>
    </w:p>
    <w:p w:rsidR="009B21C0" w:rsidRPr="007A2D34" w:rsidRDefault="00D32662" w:rsidP="002B14E2">
      <w:pPr>
        <w:widowControl/>
        <w:ind w:firstLineChars="200" w:firstLine="632"/>
        <w:contextualSpacing/>
        <w:rPr>
          <w:kern w:val="0"/>
          <w:szCs w:val="32"/>
        </w:rPr>
      </w:pPr>
      <w:r w:rsidRPr="007A2D34">
        <w:rPr>
          <w:rFonts w:eastAsia="楷体_GB2312"/>
          <w:bCs/>
          <w:kern w:val="0"/>
          <w:szCs w:val="32"/>
        </w:rPr>
        <w:lastRenderedPageBreak/>
        <w:t>第四条</w:t>
      </w:r>
      <w:r w:rsidR="009B21C0" w:rsidRPr="007A2D34">
        <w:rPr>
          <w:bCs/>
          <w:kern w:val="0"/>
          <w:szCs w:val="32"/>
        </w:rPr>
        <w:t xml:space="preserve"> </w:t>
      </w:r>
      <w:r w:rsidRPr="007A2D34">
        <w:rPr>
          <w:bCs/>
          <w:kern w:val="0"/>
          <w:szCs w:val="32"/>
        </w:rPr>
        <w:t>公开渠道</w:t>
      </w:r>
      <w:r w:rsidR="009B21C0" w:rsidRPr="007A2D34">
        <w:rPr>
          <w:bCs/>
          <w:kern w:val="0"/>
          <w:szCs w:val="32"/>
        </w:rPr>
        <w:t>。</w:t>
      </w:r>
      <w:r w:rsidRPr="007A2D34">
        <w:rPr>
          <w:kern w:val="0"/>
          <w:szCs w:val="32"/>
        </w:rPr>
        <w:t>预决算公开范围的地方政府债务限额、余额、使用安排及还本付息等信息应当在高新区管委会门户网站公开。</w:t>
      </w:r>
    </w:p>
    <w:p w:rsidR="009B21C0" w:rsidRPr="007A2D34" w:rsidRDefault="00D32662" w:rsidP="002B14E2">
      <w:pPr>
        <w:widowControl/>
        <w:ind w:firstLineChars="200" w:firstLine="632"/>
        <w:contextualSpacing/>
        <w:rPr>
          <w:kern w:val="0"/>
          <w:szCs w:val="32"/>
        </w:rPr>
      </w:pPr>
      <w:r w:rsidRPr="007A2D34">
        <w:rPr>
          <w:rFonts w:eastAsia="楷体_GB2312"/>
          <w:bCs/>
          <w:kern w:val="0"/>
          <w:szCs w:val="32"/>
        </w:rPr>
        <w:t>第五条</w:t>
      </w:r>
      <w:r w:rsidR="009B21C0" w:rsidRPr="007A2D34">
        <w:rPr>
          <w:bCs/>
          <w:kern w:val="0"/>
          <w:szCs w:val="32"/>
        </w:rPr>
        <w:t xml:space="preserve"> </w:t>
      </w:r>
      <w:r w:rsidRPr="007A2D34">
        <w:rPr>
          <w:bCs/>
          <w:kern w:val="0"/>
          <w:szCs w:val="32"/>
        </w:rPr>
        <w:t>预决算公开</w:t>
      </w:r>
      <w:r w:rsidR="009B21C0" w:rsidRPr="007A2D34">
        <w:rPr>
          <w:bCs/>
          <w:kern w:val="0"/>
          <w:szCs w:val="32"/>
        </w:rPr>
        <w:t>。</w:t>
      </w:r>
      <w:r w:rsidRPr="007A2D34">
        <w:rPr>
          <w:kern w:val="0"/>
          <w:szCs w:val="32"/>
        </w:rPr>
        <w:t>财政局应当随同预决算公开地方政府债务限额、余额、使用安排及还本付息等信息。</w:t>
      </w:r>
    </w:p>
    <w:p w:rsidR="009B21C0" w:rsidRPr="007A2D34" w:rsidRDefault="00D32662" w:rsidP="002B14E2">
      <w:pPr>
        <w:widowControl/>
        <w:ind w:firstLineChars="200" w:firstLine="632"/>
        <w:contextualSpacing/>
        <w:rPr>
          <w:kern w:val="0"/>
          <w:szCs w:val="32"/>
        </w:rPr>
      </w:pPr>
      <w:r w:rsidRPr="007A2D34">
        <w:rPr>
          <w:kern w:val="0"/>
          <w:szCs w:val="32"/>
        </w:rPr>
        <w:t>（一）随同预算公开上一年度本地区地方政府债务限额及余额（或余额预计执行数），以及本地区上一年度地方政府债券（含再融资债券）发行及还本付息额（或预计执行数）、本年度地方政府债券还本付息预算数等。</w:t>
      </w:r>
    </w:p>
    <w:p w:rsidR="009B21C0" w:rsidRPr="007A2D34" w:rsidRDefault="00D32662" w:rsidP="002B14E2">
      <w:pPr>
        <w:widowControl/>
        <w:ind w:firstLineChars="200" w:firstLine="632"/>
        <w:contextualSpacing/>
        <w:rPr>
          <w:kern w:val="0"/>
          <w:szCs w:val="32"/>
        </w:rPr>
      </w:pPr>
      <w:r w:rsidRPr="007A2D34">
        <w:rPr>
          <w:kern w:val="0"/>
          <w:szCs w:val="32"/>
        </w:rPr>
        <w:t>（二）随同调整预算公开当年本地区地方政府债务限额、新增地方政府债券资金使用安排等。</w:t>
      </w:r>
    </w:p>
    <w:p w:rsidR="009B21C0" w:rsidRPr="007A2D34" w:rsidRDefault="00D32662" w:rsidP="002B14E2">
      <w:pPr>
        <w:widowControl/>
        <w:ind w:firstLineChars="200" w:firstLine="632"/>
        <w:contextualSpacing/>
        <w:rPr>
          <w:kern w:val="0"/>
          <w:szCs w:val="32"/>
        </w:rPr>
      </w:pPr>
      <w:r w:rsidRPr="007A2D34">
        <w:rPr>
          <w:kern w:val="0"/>
          <w:szCs w:val="32"/>
        </w:rPr>
        <w:t>（三）随同决算公开本地区地方政府债务限额、余额决算数，地方政府债券发行、还本付息决算数，以及债券资金使用安排等。</w:t>
      </w:r>
    </w:p>
    <w:p w:rsidR="009B21C0" w:rsidRPr="007A2D34" w:rsidRDefault="00D32662" w:rsidP="002B14E2">
      <w:pPr>
        <w:widowControl/>
        <w:ind w:firstLineChars="200" w:firstLine="632"/>
        <w:contextualSpacing/>
        <w:rPr>
          <w:kern w:val="0"/>
          <w:szCs w:val="32"/>
        </w:rPr>
      </w:pPr>
      <w:r w:rsidRPr="007A2D34">
        <w:rPr>
          <w:rFonts w:eastAsia="楷体_GB2312"/>
          <w:bCs/>
          <w:kern w:val="0"/>
          <w:szCs w:val="32"/>
        </w:rPr>
        <w:t>第六条</w:t>
      </w:r>
      <w:r w:rsidR="009B21C0" w:rsidRPr="007A2D34">
        <w:rPr>
          <w:bCs/>
          <w:kern w:val="0"/>
          <w:szCs w:val="32"/>
        </w:rPr>
        <w:t xml:space="preserve"> </w:t>
      </w:r>
      <w:r w:rsidRPr="007A2D34">
        <w:rPr>
          <w:bCs/>
          <w:kern w:val="0"/>
          <w:szCs w:val="32"/>
        </w:rPr>
        <w:t>一般债券存续期公开</w:t>
      </w:r>
      <w:r w:rsidR="009B21C0" w:rsidRPr="007A2D34">
        <w:rPr>
          <w:bCs/>
          <w:kern w:val="0"/>
          <w:szCs w:val="32"/>
        </w:rPr>
        <w:t>。</w:t>
      </w:r>
      <w:r w:rsidRPr="007A2D34">
        <w:rPr>
          <w:kern w:val="0"/>
          <w:szCs w:val="32"/>
        </w:rPr>
        <w:t>财政局应当组织开展本地区一般债券存续期信息公开工作，督促和指导使用一般债券资金的部门不迟于每年</w:t>
      </w:r>
      <w:r w:rsidRPr="007A2D34">
        <w:rPr>
          <w:kern w:val="0"/>
          <w:szCs w:val="32"/>
        </w:rPr>
        <w:t>6</w:t>
      </w:r>
      <w:r w:rsidRPr="007A2D34">
        <w:rPr>
          <w:kern w:val="0"/>
          <w:szCs w:val="32"/>
        </w:rPr>
        <w:t>月底前公开以下信息：</w:t>
      </w:r>
    </w:p>
    <w:p w:rsidR="009B21C0" w:rsidRPr="007A2D34" w:rsidRDefault="00D32662" w:rsidP="002B14E2">
      <w:pPr>
        <w:ind w:firstLineChars="200" w:firstLine="632"/>
        <w:contextualSpacing/>
        <w:rPr>
          <w:kern w:val="0"/>
          <w:szCs w:val="32"/>
        </w:rPr>
      </w:pPr>
      <w:r w:rsidRPr="007A2D34">
        <w:rPr>
          <w:kern w:val="0"/>
          <w:szCs w:val="32"/>
        </w:rPr>
        <w:t>（一）截至上年末一般债券资金余额、利率、期限、地区分布等情况；</w:t>
      </w:r>
    </w:p>
    <w:p w:rsidR="009B21C0" w:rsidRPr="007A2D34" w:rsidRDefault="00D32662" w:rsidP="002B14E2">
      <w:pPr>
        <w:ind w:firstLineChars="200" w:firstLine="632"/>
        <w:contextualSpacing/>
        <w:rPr>
          <w:kern w:val="0"/>
          <w:szCs w:val="32"/>
        </w:rPr>
      </w:pPr>
      <w:r w:rsidRPr="007A2D34">
        <w:rPr>
          <w:kern w:val="0"/>
          <w:szCs w:val="32"/>
        </w:rPr>
        <w:t>（二）截至上年末一般债券资金使用情况；</w:t>
      </w:r>
    </w:p>
    <w:p w:rsidR="009B21C0" w:rsidRPr="007A2D34" w:rsidRDefault="00D32662" w:rsidP="002B14E2">
      <w:pPr>
        <w:ind w:firstLineChars="200" w:firstLine="632"/>
        <w:contextualSpacing/>
        <w:rPr>
          <w:kern w:val="0"/>
          <w:szCs w:val="32"/>
        </w:rPr>
      </w:pPr>
      <w:r w:rsidRPr="007A2D34">
        <w:rPr>
          <w:kern w:val="0"/>
          <w:szCs w:val="32"/>
        </w:rPr>
        <w:t>（三）截至上年末一般债券项目建设进度、运营情况等；</w:t>
      </w:r>
    </w:p>
    <w:p w:rsidR="009B21C0" w:rsidRPr="007A2D34" w:rsidRDefault="00D32662" w:rsidP="002B14E2">
      <w:pPr>
        <w:ind w:firstLineChars="200" w:firstLine="632"/>
        <w:contextualSpacing/>
        <w:rPr>
          <w:kern w:val="0"/>
          <w:szCs w:val="32"/>
        </w:rPr>
      </w:pPr>
      <w:r w:rsidRPr="007A2D34">
        <w:rPr>
          <w:kern w:val="0"/>
          <w:szCs w:val="32"/>
        </w:rPr>
        <w:t>（四）其他按规定需要公开的信息。</w:t>
      </w:r>
    </w:p>
    <w:p w:rsidR="009B21C0" w:rsidRPr="007A2D34" w:rsidRDefault="00D32662" w:rsidP="002B14E2">
      <w:pPr>
        <w:ind w:firstLineChars="200" w:firstLine="632"/>
        <w:contextualSpacing/>
        <w:rPr>
          <w:kern w:val="0"/>
          <w:szCs w:val="32"/>
        </w:rPr>
      </w:pPr>
      <w:r w:rsidRPr="007A2D34">
        <w:rPr>
          <w:rFonts w:eastAsia="楷体_GB2312"/>
          <w:bCs/>
          <w:kern w:val="0"/>
          <w:szCs w:val="32"/>
        </w:rPr>
        <w:t>第七条</w:t>
      </w:r>
      <w:r w:rsidR="009B21C0" w:rsidRPr="007A2D34">
        <w:rPr>
          <w:bCs/>
          <w:kern w:val="0"/>
          <w:szCs w:val="32"/>
        </w:rPr>
        <w:t xml:space="preserve"> </w:t>
      </w:r>
      <w:r w:rsidRPr="007A2D34">
        <w:rPr>
          <w:bCs/>
          <w:kern w:val="0"/>
          <w:szCs w:val="32"/>
        </w:rPr>
        <w:t>专项债券存续期公开</w:t>
      </w:r>
      <w:r w:rsidR="009B21C0" w:rsidRPr="007A2D34">
        <w:rPr>
          <w:bCs/>
          <w:kern w:val="0"/>
          <w:szCs w:val="32"/>
        </w:rPr>
        <w:t>。</w:t>
      </w:r>
      <w:r w:rsidRPr="007A2D34">
        <w:rPr>
          <w:kern w:val="0"/>
          <w:szCs w:val="32"/>
        </w:rPr>
        <w:t>财政局应当组织开展本地区</w:t>
      </w:r>
      <w:r w:rsidRPr="007A2D34">
        <w:rPr>
          <w:kern w:val="0"/>
          <w:szCs w:val="32"/>
        </w:rPr>
        <w:lastRenderedPageBreak/>
        <w:t>专项债券存续期信息公开工作，督促和指导使用专项债券资金的部门不迟于每年</w:t>
      </w:r>
      <w:r w:rsidRPr="007A2D34">
        <w:rPr>
          <w:kern w:val="0"/>
          <w:szCs w:val="32"/>
        </w:rPr>
        <w:t>6</w:t>
      </w:r>
      <w:r w:rsidRPr="007A2D34">
        <w:rPr>
          <w:kern w:val="0"/>
          <w:szCs w:val="32"/>
        </w:rPr>
        <w:t>月底前公开以下信息：</w:t>
      </w:r>
    </w:p>
    <w:p w:rsidR="00F841E1" w:rsidRPr="007A2D34" w:rsidRDefault="00D32662" w:rsidP="002B14E2">
      <w:pPr>
        <w:ind w:firstLineChars="200" w:firstLine="632"/>
        <w:contextualSpacing/>
      </w:pPr>
      <w:r w:rsidRPr="007A2D34">
        <w:t>（一）截至上年末专项债券资金使用情况；</w:t>
      </w:r>
    </w:p>
    <w:p w:rsidR="00F841E1" w:rsidRPr="007A2D34" w:rsidRDefault="00D32662" w:rsidP="002B14E2">
      <w:pPr>
        <w:ind w:firstLineChars="200" w:firstLine="632"/>
        <w:contextualSpacing/>
      </w:pPr>
      <w:r w:rsidRPr="007A2D34">
        <w:t>（二）截至上年末专项债券对应项目建设进度、运营情况等；</w:t>
      </w:r>
    </w:p>
    <w:p w:rsidR="00F841E1" w:rsidRPr="007A2D34" w:rsidRDefault="00D32662" w:rsidP="002B14E2">
      <w:pPr>
        <w:ind w:firstLineChars="200" w:firstLine="632"/>
        <w:contextualSpacing/>
      </w:pPr>
      <w:r w:rsidRPr="007A2D34">
        <w:t>（三）截至上年末专项债券项目收益及对应形成的资产情况；</w:t>
      </w:r>
    </w:p>
    <w:p w:rsidR="00F841E1" w:rsidRPr="007A2D34" w:rsidRDefault="00D32662" w:rsidP="002B14E2">
      <w:pPr>
        <w:widowControl/>
        <w:ind w:firstLineChars="200" w:firstLine="632"/>
        <w:contextualSpacing/>
      </w:pPr>
      <w:r w:rsidRPr="007A2D34">
        <w:t>（四）其他按规定需要公开的信息。</w:t>
      </w:r>
    </w:p>
    <w:p w:rsidR="00F841E1" w:rsidRPr="007A2D34" w:rsidRDefault="00D32662" w:rsidP="002B14E2">
      <w:pPr>
        <w:widowControl/>
        <w:ind w:firstLineChars="200" w:firstLine="632"/>
        <w:contextualSpacing/>
        <w:rPr>
          <w:kern w:val="0"/>
          <w:szCs w:val="32"/>
        </w:rPr>
      </w:pPr>
      <w:r w:rsidRPr="007A2D34">
        <w:rPr>
          <w:rFonts w:eastAsia="楷体_GB2312"/>
          <w:bCs/>
          <w:kern w:val="0"/>
          <w:szCs w:val="32"/>
        </w:rPr>
        <w:t>第八条</w:t>
      </w:r>
      <w:r w:rsidR="009B21C0" w:rsidRPr="007A2D34">
        <w:rPr>
          <w:bCs/>
          <w:kern w:val="0"/>
          <w:szCs w:val="32"/>
        </w:rPr>
        <w:t xml:space="preserve"> </w:t>
      </w:r>
      <w:r w:rsidRPr="007A2D34">
        <w:rPr>
          <w:bCs/>
          <w:kern w:val="0"/>
          <w:szCs w:val="32"/>
        </w:rPr>
        <w:t>违法违规情形公开</w:t>
      </w:r>
      <w:r w:rsidR="009B21C0" w:rsidRPr="007A2D34">
        <w:rPr>
          <w:bCs/>
          <w:kern w:val="0"/>
          <w:szCs w:val="32"/>
        </w:rPr>
        <w:t>。</w:t>
      </w:r>
      <w:r w:rsidRPr="007A2D34">
        <w:rPr>
          <w:kern w:val="0"/>
          <w:szCs w:val="32"/>
        </w:rPr>
        <w:t>涉及违法违规举债担保行为问责的，财政局应当在收到问责决定后</w:t>
      </w:r>
      <w:r w:rsidRPr="007A2D34">
        <w:rPr>
          <w:kern w:val="0"/>
          <w:szCs w:val="32"/>
        </w:rPr>
        <w:t>20</w:t>
      </w:r>
      <w:r w:rsidRPr="007A2D34">
        <w:rPr>
          <w:kern w:val="0"/>
          <w:szCs w:val="32"/>
        </w:rPr>
        <w:t>个工作日内公开问责结果。</w:t>
      </w:r>
    </w:p>
    <w:p w:rsidR="00F841E1" w:rsidRPr="007A2D34" w:rsidRDefault="00D32662" w:rsidP="002B14E2">
      <w:pPr>
        <w:widowControl/>
        <w:ind w:firstLineChars="200" w:firstLine="632"/>
        <w:contextualSpacing/>
        <w:rPr>
          <w:kern w:val="0"/>
          <w:szCs w:val="32"/>
        </w:rPr>
      </w:pPr>
      <w:r w:rsidRPr="007A2D34">
        <w:rPr>
          <w:rFonts w:eastAsia="楷体_GB2312"/>
          <w:bCs/>
          <w:kern w:val="0"/>
          <w:szCs w:val="32"/>
        </w:rPr>
        <w:t>第九条</w:t>
      </w:r>
      <w:r w:rsidR="009B21C0" w:rsidRPr="007A2D34">
        <w:rPr>
          <w:bCs/>
          <w:kern w:val="0"/>
          <w:szCs w:val="32"/>
        </w:rPr>
        <w:t xml:space="preserve"> </w:t>
      </w:r>
      <w:r w:rsidRPr="007A2D34">
        <w:rPr>
          <w:bCs/>
          <w:kern w:val="0"/>
          <w:szCs w:val="32"/>
        </w:rPr>
        <w:t>一般债券重大事项公开</w:t>
      </w:r>
      <w:r w:rsidR="009B21C0" w:rsidRPr="007A2D34">
        <w:rPr>
          <w:bCs/>
          <w:kern w:val="0"/>
          <w:szCs w:val="32"/>
        </w:rPr>
        <w:t>。</w:t>
      </w:r>
      <w:r w:rsidRPr="007A2D34">
        <w:rPr>
          <w:kern w:val="0"/>
          <w:szCs w:val="32"/>
        </w:rPr>
        <w:t>一般债券存续期内，发生可能影响使用一般债券资金地区的一般公共预算收入的重大事项的，财政局应当按照《</w:t>
      </w:r>
      <w:r w:rsidRPr="007A2D34">
        <w:rPr>
          <w:szCs w:val="32"/>
        </w:rPr>
        <w:t>乐山高新区地方政府性债务风险应急处置预案</w:t>
      </w:r>
      <w:r w:rsidRPr="007A2D34">
        <w:rPr>
          <w:kern w:val="0"/>
          <w:szCs w:val="32"/>
        </w:rPr>
        <w:t>》等有关规定提出具体补救措施，经管委会批准后向乐山市财政局报告。</w:t>
      </w:r>
    </w:p>
    <w:p w:rsidR="00F841E1" w:rsidRPr="007A2D34" w:rsidRDefault="00D32662" w:rsidP="002B14E2">
      <w:pPr>
        <w:ind w:firstLineChars="200" w:firstLine="632"/>
        <w:contextualSpacing/>
        <w:rPr>
          <w:kern w:val="0"/>
          <w:szCs w:val="32"/>
        </w:rPr>
      </w:pPr>
      <w:r w:rsidRPr="007A2D34">
        <w:rPr>
          <w:rFonts w:eastAsia="楷体_GB2312"/>
          <w:bCs/>
          <w:kern w:val="0"/>
          <w:szCs w:val="32"/>
        </w:rPr>
        <w:t>第十条</w:t>
      </w:r>
      <w:r w:rsidR="009B21C0" w:rsidRPr="007A2D34">
        <w:rPr>
          <w:bCs/>
          <w:kern w:val="0"/>
          <w:szCs w:val="32"/>
        </w:rPr>
        <w:t xml:space="preserve"> </w:t>
      </w:r>
      <w:r w:rsidRPr="007A2D34">
        <w:rPr>
          <w:bCs/>
          <w:kern w:val="0"/>
          <w:szCs w:val="32"/>
        </w:rPr>
        <w:t>专项债券重大事项公开</w:t>
      </w:r>
      <w:r w:rsidR="009B21C0" w:rsidRPr="007A2D34">
        <w:rPr>
          <w:bCs/>
          <w:kern w:val="0"/>
          <w:szCs w:val="32"/>
        </w:rPr>
        <w:t>。</w:t>
      </w:r>
      <w:r w:rsidRPr="007A2D34">
        <w:rPr>
          <w:kern w:val="0"/>
          <w:szCs w:val="32"/>
        </w:rPr>
        <w:t>专项债券存续期内，对应项目发生可能影响其收益与融资平衡能力的重大事项的，专项债券资金使用部门和财政局应当按照《</w:t>
      </w:r>
      <w:r w:rsidRPr="007A2D34">
        <w:rPr>
          <w:szCs w:val="32"/>
        </w:rPr>
        <w:t>乐山高新区地方政府性债务风险应急处置预案</w:t>
      </w:r>
      <w:r w:rsidRPr="007A2D34">
        <w:rPr>
          <w:kern w:val="0"/>
          <w:szCs w:val="32"/>
        </w:rPr>
        <w:t>》等有关规定提出具体补救措施，经管委会批准后向乐山市财政局报告。</w:t>
      </w:r>
    </w:p>
    <w:p w:rsidR="00F841E1" w:rsidRPr="007A2D34" w:rsidRDefault="00D32662" w:rsidP="002B14E2">
      <w:pPr>
        <w:ind w:firstLineChars="200" w:firstLine="632"/>
        <w:contextualSpacing/>
        <w:rPr>
          <w:kern w:val="0"/>
          <w:szCs w:val="32"/>
        </w:rPr>
      </w:pPr>
      <w:r w:rsidRPr="007A2D34">
        <w:rPr>
          <w:rFonts w:eastAsia="楷体_GB2312"/>
          <w:bCs/>
          <w:kern w:val="0"/>
          <w:szCs w:val="32"/>
        </w:rPr>
        <w:t>第十一条</w:t>
      </w:r>
      <w:r w:rsidR="009B21C0" w:rsidRPr="007A2D34">
        <w:rPr>
          <w:bCs/>
          <w:kern w:val="0"/>
          <w:szCs w:val="32"/>
        </w:rPr>
        <w:t xml:space="preserve"> </w:t>
      </w:r>
      <w:r w:rsidRPr="007A2D34">
        <w:rPr>
          <w:bCs/>
          <w:kern w:val="0"/>
          <w:szCs w:val="32"/>
        </w:rPr>
        <w:t>债券资金调整用途公开</w:t>
      </w:r>
      <w:r w:rsidR="009B21C0" w:rsidRPr="007A2D34">
        <w:rPr>
          <w:bCs/>
          <w:kern w:val="0"/>
          <w:szCs w:val="32"/>
        </w:rPr>
        <w:t>。</w:t>
      </w:r>
      <w:r w:rsidRPr="007A2D34">
        <w:rPr>
          <w:kern w:val="0"/>
          <w:szCs w:val="32"/>
        </w:rPr>
        <w:t>地方政府债券存续期内确需调整债券资金用途的，经管委会批准后向乐山市财政局报告，</w:t>
      </w:r>
      <w:r w:rsidRPr="007A2D34">
        <w:rPr>
          <w:kern w:val="0"/>
          <w:szCs w:val="32"/>
        </w:rPr>
        <w:lastRenderedPageBreak/>
        <w:t>并按规定履行相关程序。</w:t>
      </w:r>
    </w:p>
    <w:p w:rsidR="00F841E1" w:rsidRPr="007A2D34" w:rsidRDefault="00D32662" w:rsidP="002B14E2">
      <w:pPr>
        <w:ind w:firstLineChars="200" w:firstLine="632"/>
        <w:contextualSpacing/>
        <w:rPr>
          <w:kern w:val="0"/>
          <w:szCs w:val="32"/>
        </w:rPr>
      </w:pPr>
      <w:r w:rsidRPr="007A2D34">
        <w:rPr>
          <w:rFonts w:eastAsia="楷体_GB2312"/>
          <w:bCs/>
          <w:kern w:val="0"/>
          <w:szCs w:val="32"/>
        </w:rPr>
        <w:t>第十二条</w:t>
      </w:r>
      <w:r w:rsidR="009B21C0" w:rsidRPr="007A2D34">
        <w:rPr>
          <w:bCs/>
          <w:kern w:val="0"/>
          <w:szCs w:val="32"/>
        </w:rPr>
        <w:t xml:space="preserve"> </w:t>
      </w:r>
      <w:r w:rsidRPr="007A2D34">
        <w:rPr>
          <w:bCs/>
          <w:kern w:val="0"/>
          <w:szCs w:val="32"/>
        </w:rPr>
        <w:t>法律责任</w:t>
      </w:r>
      <w:r w:rsidR="009B21C0" w:rsidRPr="007A2D34">
        <w:rPr>
          <w:bCs/>
          <w:kern w:val="0"/>
          <w:szCs w:val="32"/>
        </w:rPr>
        <w:t>。</w:t>
      </w:r>
      <w:r w:rsidRPr="007A2D34">
        <w:rPr>
          <w:kern w:val="0"/>
          <w:szCs w:val="32"/>
        </w:rPr>
        <w:t>对未按规定公开地方政府债务信息的，应当依照《中华人民共和国预算法》《中华人民共和国政府信息公开条例》等法律法规的规定，责令改正，对负有直接责任的主管人员和其他直接责任人员依法依规给予处分。</w:t>
      </w:r>
    </w:p>
    <w:p w:rsidR="00F841E1" w:rsidRPr="007A2D34" w:rsidRDefault="00D32662" w:rsidP="002B14E2">
      <w:pPr>
        <w:ind w:firstLineChars="200" w:firstLine="632"/>
        <w:contextualSpacing/>
        <w:rPr>
          <w:kern w:val="0"/>
          <w:szCs w:val="32"/>
        </w:rPr>
      </w:pPr>
      <w:r w:rsidRPr="007A2D34">
        <w:rPr>
          <w:rFonts w:eastAsia="楷体_GB2312"/>
          <w:bCs/>
          <w:kern w:val="0"/>
          <w:szCs w:val="32"/>
        </w:rPr>
        <w:t>第十三条</w:t>
      </w:r>
      <w:r w:rsidR="009B21C0" w:rsidRPr="007A2D34">
        <w:rPr>
          <w:bCs/>
          <w:kern w:val="0"/>
          <w:szCs w:val="32"/>
        </w:rPr>
        <w:t xml:space="preserve"> </w:t>
      </w:r>
      <w:r w:rsidRPr="007A2D34">
        <w:rPr>
          <w:bCs/>
          <w:kern w:val="0"/>
          <w:szCs w:val="32"/>
        </w:rPr>
        <w:t>社会监督</w:t>
      </w:r>
      <w:r w:rsidR="009B21C0" w:rsidRPr="007A2D34">
        <w:rPr>
          <w:bCs/>
          <w:kern w:val="0"/>
          <w:szCs w:val="32"/>
        </w:rPr>
        <w:t>。</w:t>
      </w:r>
      <w:r w:rsidRPr="007A2D34">
        <w:rPr>
          <w:kern w:val="0"/>
          <w:szCs w:val="32"/>
        </w:rPr>
        <w:t>公民、法人或者其他组织认为有关部门不依法履行地方政府债务信息公开义务的，可以向高新区财政局或乐山市财政部门举报。高新区财政局收到举报后应当依法依规予以处理。</w:t>
      </w:r>
    </w:p>
    <w:p w:rsidR="00F841E1" w:rsidRPr="007A2D34" w:rsidRDefault="00D32662" w:rsidP="002B14E2">
      <w:pPr>
        <w:ind w:firstLineChars="200" w:firstLine="632"/>
        <w:contextualSpacing/>
        <w:rPr>
          <w:kern w:val="0"/>
          <w:szCs w:val="32"/>
        </w:rPr>
      </w:pPr>
      <w:r w:rsidRPr="007A2D34">
        <w:rPr>
          <w:rFonts w:eastAsia="楷体_GB2312"/>
          <w:bCs/>
          <w:kern w:val="0"/>
          <w:szCs w:val="32"/>
        </w:rPr>
        <w:t>第十四条</w:t>
      </w:r>
      <w:r w:rsidR="009B21C0" w:rsidRPr="007A2D34">
        <w:rPr>
          <w:bCs/>
          <w:kern w:val="0"/>
          <w:szCs w:val="32"/>
        </w:rPr>
        <w:t xml:space="preserve"> </w:t>
      </w:r>
      <w:r w:rsidRPr="007A2D34">
        <w:rPr>
          <w:kern w:val="0"/>
          <w:szCs w:val="32"/>
        </w:rPr>
        <w:t>本办法由高新区财政局负责解释。</w:t>
      </w:r>
    </w:p>
    <w:p w:rsidR="00D32662" w:rsidRPr="007A2D34" w:rsidRDefault="00D32662" w:rsidP="002B14E2">
      <w:pPr>
        <w:ind w:firstLineChars="200" w:firstLine="632"/>
        <w:contextualSpacing/>
        <w:rPr>
          <w:kern w:val="0"/>
          <w:szCs w:val="32"/>
        </w:rPr>
      </w:pPr>
      <w:r w:rsidRPr="007A2D34">
        <w:rPr>
          <w:rFonts w:eastAsia="楷体_GB2312"/>
          <w:bCs/>
          <w:kern w:val="0"/>
          <w:szCs w:val="32"/>
        </w:rPr>
        <w:t>第十五条</w:t>
      </w:r>
      <w:r w:rsidR="009B21C0" w:rsidRPr="007A2D34">
        <w:rPr>
          <w:kern w:val="0"/>
          <w:szCs w:val="32"/>
        </w:rPr>
        <w:t xml:space="preserve"> </w:t>
      </w:r>
      <w:r w:rsidRPr="007A2D34">
        <w:rPr>
          <w:kern w:val="0"/>
          <w:szCs w:val="32"/>
        </w:rPr>
        <w:t>本办法自印发之日起执行。</w:t>
      </w:r>
    </w:p>
    <w:p w:rsidR="00D32662" w:rsidRPr="007A2D34" w:rsidRDefault="00D32662" w:rsidP="00B22B05">
      <w:pPr>
        <w:widowControl/>
        <w:ind w:firstLineChars="200" w:firstLine="632"/>
        <w:contextualSpacing/>
        <w:jc w:val="left"/>
        <w:rPr>
          <w:kern w:val="0"/>
          <w:szCs w:val="32"/>
        </w:rPr>
      </w:pPr>
    </w:p>
    <w:p w:rsidR="00B203BE" w:rsidRPr="007A2D34" w:rsidRDefault="00B203BE" w:rsidP="00B22B05">
      <w:pPr>
        <w:ind w:firstLineChars="200" w:firstLine="632"/>
        <w:contextualSpacing/>
        <w:rPr>
          <w:kern w:val="0"/>
          <w:szCs w:val="32"/>
        </w:rPr>
      </w:pPr>
    </w:p>
    <w:p w:rsidR="00B22B05" w:rsidRPr="007A2D34" w:rsidRDefault="00B22B05" w:rsidP="00B22B05">
      <w:pPr>
        <w:ind w:firstLineChars="200" w:firstLine="632"/>
        <w:contextualSpacing/>
        <w:rPr>
          <w:kern w:val="0"/>
          <w:szCs w:val="32"/>
        </w:rPr>
      </w:pPr>
    </w:p>
    <w:p w:rsidR="00B22B05" w:rsidRPr="007A2D34" w:rsidRDefault="00B22B05" w:rsidP="00B22B05">
      <w:pPr>
        <w:contextualSpacing/>
        <w:rPr>
          <w:kern w:val="0"/>
          <w:szCs w:val="32"/>
        </w:rPr>
      </w:pPr>
    </w:p>
    <w:p w:rsidR="00FF4D75" w:rsidRPr="007A2D34" w:rsidRDefault="00FF4D75" w:rsidP="00B22B05">
      <w:pPr>
        <w:contextualSpacing/>
        <w:rPr>
          <w:kern w:val="0"/>
          <w:szCs w:val="32"/>
        </w:rPr>
      </w:pPr>
    </w:p>
    <w:p w:rsidR="00097351" w:rsidRPr="007A2D34" w:rsidRDefault="00097351" w:rsidP="0076657A">
      <w:pPr>
        <w:contextualSpacing/>
        <w:rPr>
          <w:kern w:val="0"/>
          <w:szCs w:val="32"/>
        </w:rPr>
      </w:pPr>
    </w:p>
    <w:sectPr w:rsidR="00097351" w:rsidRPr="007A2D34" w:rsidSect="00F841E1">
      <w:footerReference w:type="even" r:id="rId6"/>
      <w:footerReference w:type="default" r:id="rId7"/>
      <w:pgSz w:w="11906" w:h="16838" w:code="9"/>
      <w:pgMar w:top="2098" w:right="1474" w:bottom="1985" w:left="1588" w:header="851" w:footer="1361" w:gutter="0"/>
      <w:pgNumType w:fmt="numberInDash"/>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827" w:rsidRDefault="00206827" w:rsidP="00D16AE3">
      <w:r>
        <w:separator/>
      </w:r>
    </w:p>
  </w:endnote>
  <w:endnote w:type="continuationSeparator" w:id="0">
    <w:p w:rsidR="00206827" w:rsidRDefault="00206827" w:rsidP="00D16A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F36" w:rsidRPr="00F841E1" w:rsidRDefault="00A60CE5" w:rsidP="00F841E1">
    <w:pPr>
      <w:pStyle w:val="a3"/>
      <w:ind w:firstLineChars="100" w:firstLine="280"/>
      <w:rPr>
        <w:rFonts w:ascii="宋体" w:eastAsia="宋体" w:hAnsi="宋体"/>
        <w:sz w:val="28"/>
        <w:szCs w:val="28"/>
      </w:rPr>
    </w:pPr>
    <w:r w:rsidRPr="00F841E1">
      <w:rPr>
        <w:rFonts w:ascii="宋体" w:eastAsia="宋体" w:hAnsi="宋体"/>
        <w:sz w:val="28"/>
        <w:szCs w:val="28"/>
      </w:rPr>
      <w:fldChar w:fldCharType="begin"/>
    </w:r>
    <w:r w:rsidR="00A92F36" w:rsidRPr="00F841E1">
      <w:rPr>
        <w:rFonts w:ascii="宋体" w:eastAsia="宋体" w:hAnsi="宋体"/>
        <w:sz w:val="28"/>
        <w:szCs w:val="28"/>
      </w:rPr>
      <w:instrText>PAGE   \* MERGEFORMAT</w:instrText>
    </w:r>
    <w:r w:rsidRPr="00F841E1">
      <w:rPr>
        <w:rFonts w:ascii="宋体" w:eastAsia="宋体" w:hAnsi="宋体"/>
        <w:sz w:val="28"/>
        <w:szCs w:val="28"/>
      </w:rPr>
      <w:fldChar w:fldCharType="separate"/>
    </w:r>
    <w:r w:rsidR="0076657A" w:rsidRPr="0076657A">
      <w:rPr>
        <w:rFonts w:ascii="宋体" w:eastAsia="宋体" w:hAnsi="宋体"/>
        <w:noProof/>
        <w:sz w:val="28"/>
        <w:szCs w:val="28"/>
        <w:lang w:val="zh-CN"/>
      </w:rPr>
      <w:t>-</w:t>
    </w:r>
    <w:r w:rsidR="0076657A">
      <w:rPr>
        <w:rFonts w:ascii="宋体" w:eastAsia="宋体" w:hAnsi="宋体"/>
        <w:noProof/>
        <w:sz w:val="28"/>
        <w:szCs w:val="28"/>
      </w:rPr>
      <w:t xml:space="preserve"> 2 -</w:t>
    </w:r>
    <w:r w:rsidRPr="00F841E1">
      <w:rPr>
        <w:rFonts w:ascii="宋体" w:eastAsia="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2F36" w:rsidRPr="00F841E1" w:rsidRDefault="00A60CE5" w:rsidP="00F841E1">
    <w:pPr>
      <w:pStyle w:val="a3"/>
      <w:ind w:right="280"/>
      <w:jc w:val="right"/>
      <w:rPr>
        <w:rFonts w:ascii="宋体" w:eastAsia="宋体" w:hAnsi="宋体"/>
        <w:sz w:val="28"/>
        <w:szCs w:val="28"/>
      </w:rPr>
    </w:pPr>
    <w:r w:rsidRPr="00F841E1">
      <w:rPr>
        <w:rFonts w:ascii="宋体" w:eastAsia="宋体" w:hAnsi="宋体"/>
        <w:sz w:val="28"/>
        <w:szCs w:val="28"/>
      </w:rPr>
      <w:fldChar w:fldCharType="begin"/>
    </w:r>
    <w:r w:rsidR="00A92F36" w:rsidRPr="00F841E1">
      <w:rPr>
        <w:rFonts w:ascii="宋体" w:eastAsia="宋体" w:hAnsi="宋体"/>
        <w:sz w:val="28"/>
        <w:szCs w:val="28"/>
      </w:rPr>
      <w:instrText>PAGE   \* MERGEFORMAT</w:instrText>
    </w:r>
    <w:r w:rsidRPr="00F841E1">
      <w:rPr>
        <w:rFonts w:ascii="宋体" w:eastAsia="宋体" w:hAnsi="宋体"/>
        <w:sz w:val="28"/>
        <w:szCs w:val="28"/>
      </w:rPr>
      <w:fldChar w:fldCharType="separate"/>
    </w:r>
    <w:r w:rsidR="0076657A" w:rsidRPr="0076657A">
      <w:rPr>
        <w:rFonts w:ascii="宋体" w:eastAsia="宋体" w:hAnsi="宋体"/>
        <w:noProof/>
        <w:sz w:val="28"/>
        <w:szCs w:val="28"/>
        <w:lang w:val="zh-CN"/>
      </w:rPr>
      <w:t>-</w:t>
    </w:r>
    <w:r w:rsidR="0076657A">
      <w:rPr>
        <w:rFonts w:ascii="宋体" w:eastAsia="宋体" w:hAnsi="宋体"/>
        <w:noProof/>
        <w:sz w:val="28"/>
        <w:szCs w:val="28"/>
      </w:rPr>
      <w:t xml:space="preserve"> 1 -</w:t>
    </w:r>
    <w:r w:rsidRPr="00F841E1">
      <w:rPr>
        <w:rFonts w:ascii="宋体" w:eastAsia="宋体" w:hAnsi="宋体"/>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827" w:rsidRDefault="00206827" w:rsidP="00D16AE3">
      <w:r>
        <w:separator/>
      </w:r>
    </w:p>
  </w:footnote>
  <w:footnote w:type="continuationSeparator" w:id="0">
    <w:p w:rsidR="00206827" w:rsidRDefault="00206827" w:rsidP="00D16AE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evenAndOddHeaders/>
  <w:drawingGridHorizontalSpacing w:val="158"/>
  <w:drawingGridVerticalSpacing w:val="579"/>
  <w:displayHorizontalDrawingGridEvery w:val="0"/>
  <w:characterSpacingControl w:val="compressPunctuation"/>
  <w:doNotValidateAgainstSchema/>
  <w:doNotDemarcateInvalidXml/>
  <w:hdrShapeDefaults>
    <o:shapedefaults v:ext="edit" spidmax="11266"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829BE"/>
    <w:rsid w:val="00097351"/>
    <w:rsid w:val="00137888"/>
    <w:rsid w:val="00172A27"/>
    <w:rsid w:val="001D0D3A"/>
    <w:rsid w:val="00206827"/>
    <w:rsid w:val="00230B5A"/>
    <w:rsid w:val="002333E0"/>
    <w:rsid w:val="002465C8"/>
    <w:rsid w:val="002B14E2"/>
    <w:rsid w:val="002C221B"/>
    <w:rsid w:val="002D47E9"/>
    <w:rsid w:val="00317E10"/>
    <w:rsid w:val="0040158D"/>
    <w:rsid w:val="00414809"/>
    <w:rsid w:val="00440417"/>
    <w:rsid w:val="004B789E"/>
    <w:rsid w:val="004C2102"/>
    <w:rsid w:val="00531E67"/>
    <w:rsid w:val="005520DE"/>
    <w:rsid w:val="005B01A9"/>
    <w:rsid w:val="005C1F1B"/>
    <w:rsid w:val="005D3397"/>
    <w:rsid w:val="005D76AF"/>
    <w:rsid w:val="00655EE6"/>
    <w:rsid w:val="006C46D6"/>
    <w:rsid w:val="0076657A"/>
    <w:rsid w:val="007753B8"/>
    <w:rsid w:val="007A2D34"/>
    <w:rsid w:val="0081194F"/>
    <w:rsid w:val="00876AC3"/>
    <w:rsid w:val="00897650"/>
    <w:rsid w:val="008A13C3"/>
    <w:rsid w:val="008A2404"/>
    <w:rsid w:val="00913313"/>
    <w:rsid w:val="00933205"/>
    <w:rsid w:val="009410B6"/>
    <w:rsid w:val="009B18E4"/>
    <w:rsid w:val="009B21C0"/>
    <w:rsid w:val="00A60CE5"/>
    <w:rsid w:val="00A92F36"/>
    <w:rsid w:val="00AA6ADE"/>
    <w:rsid w:val="00AB48F7"/>
    <w:rsid w:val="00AB7CF9"/>
    <w:rsid w:val="00B203BE"/>
    <w:rsid w:val="00B22B05"/>
    <w:rsid w:val="00B23DC2"/>
    <w:rsid w:val="00B819A2"/>
    <w:rsid w:val="00B81E98"/>
    <w:rsid w:val="00BA3EC8"/>
    <w:rsid w:val="00BB7298"/>
    <w:rsid w:val="00BD2B6A"/>
    <w:rsid w:val="00C253D8"/>
    <w:rsid w:val="00C8710E"/>
    <w:rsid w:val="00D06AB4"/>
    <w:rsid w:val="00D16AE3"/>
    <w:rsid w:val="00D32662"/>
    <w:rsid w:val="00DF1553"/>
    <w:rsid w:val="00E4340C"/>
    <w:rsid w:val="00EB46EF"/>
    <w:rsid w:val="00EB5D8C"/>
    <w:rsid w:val="00F170E0"/>
    <w:rsid w:val="00F21501"/>
    <w:rsid w:val="00F424AC"/>
    <w:rsid w:val="00F54E7E"/>
    <w:rsid w:val="00F60EA3"/>
    <w:rsid w:val="00F841E1"/>
    <w:rsid w:val="00FB4E04"/>
    <w:rsid w:val="00FF4D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E04"/>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D2B6A"/>
    <w:pPr>
      <w:tabs>
        <w:tab w:val="center" w:pos="4153"/>
        <w:tab w:val="right" w:pos="8306"/>
      </w:tabs>
      <w:snapToGrid w:val="0"/>
      <w:jc w:val="left"/>
    </w:pPr>
    <w:rPr>
      <w:sz w:val="18"/>
    </w:rPr>
  </w:style>
  <w:style w:type="paragraph" w:styleId="a4">
    <w:name w:val="header"/>
    <w:basedOn w:val="a"/>
    <w:rsid w:val="00BD2B6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1">
    <w:name w:val="正文1"/>
    <w:rsid w:val="00BD2B6A"/>
    <w:pPr>
      <w:widowControl w:val="0"/>
      <w:overflowPunct w:val="0"/>
      <w:ind w:firstLineChars="200" w:firstLine="200"/>
      <w:jc w:val="both"/>
    </w:pPr>
    <w:rPr>
      <w:rFonts w:ascii="仿宋_GB2312" w:eastAsia="仿宋_GB2312"/>
      <w:sz w:val="32"/>
      <w:szCs w:val="22"/>
    </w:rPr>
  </w:style>
  <w:style w:type="paragraph" w:customStyle="1" w:styleId="10">
    <w:name w:val="列出段落1"/>
    <w:basedOn w:val="a"/>
    <w:rsid w:val="00BD2B6A"/>
    <w:pPr>
      <w:ind w:firstLineChars="200" w:firstLine="420"/>
    </w:pPr>
  </w:style>
  <w:style w:type="character" w:customStyle="1" w:styleId="Char">
    <w:name w:val="页脚 Char"/>
    <w:link w:val="a3"/>
    <w:uiPriority w:val="99"/>
    <w:rsid w:val="00F841E1"/>
    <w:rPr>
      <w:rFonts w:eastAsia="仿宋_GB2312"/>
      <w:kern w:val="2"/>
      <w:sz w:val="18"/>
    </w:rPr>
  </w:style>
  <w:style w:type="paragraph" w:styleId="a5">
    <w:name w:val="Balloon Text"/>
    <w:basedOn w:val="a"/>
    <w:link w:val="Char0"/>
    <w:uiPriority w:val="99"/>
    <w:semiHidden/>
    <w:unhideWhenUsed/>
    <w:rsid w:val="002B14E2"/>
    <w:rPr>
      <w:sz w:val="18"/>
      <w:szCs w:val="18"/>
    </w:rPr>
  </w:style>
  <w:style w:type="character" w:customStyle="1" w:styleId="Char0">
    <w:name w:val="批注框文本 Char"/>
    <w:link w:val="a5"/>
    <w:uiPriority w:val="99"/>
    <w:semiHidden/>
    <w:rsid w:val="002B14E2"/>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255</Words>
  <Characters>1454</Characters>
  <Application>Microsoft Office Word</Application>
  <DocSecurity>0</DocSecurity>
  <PresentationFormat/>
  <Lines>12</Lines>
  <Paragraphs>3</Paragraphs>
  <Slides>0</Slides>
  <Notes>0</Notes>
  <HiddenSlides>0</HiddenSlides>
  <MMClips>0</MMClips>
  <ScaleCrop>false</ScaleCrop>
  <Company>微软中国</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乐山高新技术产业开发区管理委员会办公室</dc:title>
  <dc:creator>财政局</dc:creator>
  <cp:lastModifiedBy>张子莹</cp:lastModifiedBy>
  <cp:revision>2</cp:revision>
  <cp:lastPrinted>2019-07-18T13:31:00Z</cp:lastPrinted>
  <dcterms:created xsi:type="dcterms:W3CDTF">2019-07-22T07:47:00Z</dcterms:created>
  <dcterms:modified xsi:type="dcterms:W3CDTF">2019-07-22T07:47:00Z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