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2ABCE">
      <w:pPr>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高新区</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促进建筑业高质量发展的实施意见</w:t>
      </w:r>
    </w:p>
    <w:p w14:paraId="2EFEF494">
      <w:pPr>
        <w:pStyle w:val="2"/>
        <w:ind w:left="0" w:leftChars="0"/>
        <w:jc w:val="center"/>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征求意见稿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EDB7683">
      <w:pPr>
        <w:rPr>
          <w:rFonts w:hint="eastAsia"/>
          <w:color w:val="000000" w:themeColor="text1"/>
          <w14:textFill>
            <w14:solidFill>
              <w14:schemeClr w14:val="tx1"/>
            </w14:solidFill>
          </w14:textFill>
        </w:rPr>
      </w:pPr>
    </w:p>
    <w:p w14:paraId="101406C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深入贯彻落实党中央、国务院关于推动高质量发展的战略决策和省委、省政府关于“建筑强省”建设的部署要求，促进我区建筑业高质量发展，根据《乐山市人民政府办公室关于印发乐山市支持建筑业企业发展若干措施的通知》（乐府办规〔2022〕4号）和</w:t>
      </w:r>
      <w:r>
        <w:rPr>
          <w:rFonts w:hint="eastAsia" w:ascii="仿宋_GB2312" w:hAnsi="仿宋_GB2312" w:eastAsia="仿宋_GB2312" w:cs="仿宋_GB2312"/>
          <w:color w:val="000000" w:themeColor="text1"/>
          <w:sz w:val="32"/>
          <w:szCs w:val="32"/>
          <w14:textFill>
            <w14:solidFill>
              <w14:schemeClr w14:val="tx1"/>
            </w14:solidFill>
          </w14:textFill>
        </w:rPr>
        <w:t>《乐山市促进建筑业高质量发展实施方案》（乐府办发﹝2024﹞11号）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精神，结合我区实际，制定如下支持措施意见。</w:t>
      </w:r>
    </w:p>
    <w:p w14:paraId="59FA96C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w:t>
      </w:r>
      <w:r>
        <w:rPr>
          <w:rFonts w:hint="eastAsia" w:ascii="黑体" w:hAnsi="黑体" w:eastAsia="黑体" w:cs="黑体"/>
          <w:color w:val="000000" w:themeColor="text1"/>
          <w:sz w:val="32"/>
          <w:szCs w:val="32"/>
          <w:lang w:eastAsia="zh-CN"/>
          <w14:textFill>
            <w14:solidFill>
              <w14:schemeClr w14:val="tx1"/>
            </w14:solidFill>
          </w14:textFill>
        </w:rPr>
        <w:t>、</w:t>
      </w:r>
      <w:r>
        <w:rPr>
          <w:rFonts w:hint="eastAsia" w:ascii="黑体" w:hAnsi="黑体" w:eastAsia="黑体" w:cs="黑体"/>
          <w:color w:val="000000" w:themeColor="text1"/>
          <w:sz w:val="32"/>
          <w:szCs w:val="32"/>
          <w14:textFill>
            <w14:solidFill>
              <w14:schemeClr w14:val="tx1"/>
            </w14:solidFill>
          </w14:textFill>
        </w:rPr>
        <w:t>完善建筑业市场信用体系</w:t>
      </w:r>
    </w:p>
    <w:p w14:paraId="14FA022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（一）依托乐山市建筑施工企业信用信息管理系统，优化信用评价结果在招标投标环节运用，支持信用良好、综合实力强的企业参与重点项目建设。</w:t>
      </w:r>
      <w:r>
        <w:rPr>
          <w:rFonts w:hint="eastAsia" w:ascii="仿宋_GB2312" w:hAnsi="仿宋_GB2312" w:eastAsia="仿宋_GB2312" w:cs="仿宋_GB2312"/>
          <w:color w:val="auto"/>
          <w:sz w:val="32"/>
          <w:szCs w:val="32"/>
          <w:lang w:val="en-US" w:eastAsia="zh-CN"/>
        </w:rPr>
        <w:t>国家投资工程建设项目</w:t>
      </w:r>
      <w:r>
        <w:rPr>
          <w:rFonts w:hint="eastAsia" w:ascii="仿宋_GB2312" w:hAnsi="仿宋_GB2312" w:eastAsia="仿宋_GB2312" w:cs="仿宋_GB2312"/>
          <w:color w:val="000000" w:themeColor="text1"/>
          <w:sz w:val="32"/>
          <w:szCs w:val="32"/>
          <w14:textFill>
            <w14:solidFill>
              <w14:schemeClr w14:val="tx1"/>
            </w14:solidFill>
          </w14:textFill>
        </w:rPr>
        <w:t>采用“评定分离”方式进行评标的，可将信用评价结果作为同等条件下择优选择的重要依据。</w:t>
      </w:r>
    </w:p>
    <w:p w14:paraId="7BAB6CA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（二）鼓励中标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内项目的异地施工总承包单位优先选择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高新区</w:t>
      </w:r>
      <w:r>
        <w:rPr>
          <w:rFonts w:hint="eastAsia" w:ascii="仿宋_GB2312" w:hAnsi="仿宋_GB2312" w:eastAsia="仿宋_GB2312" w:cs="仿宋_GB2312"/>
          <w:color w:val="000000" w:themeColor="text1"/>
          <w:sz w:val="32"/>
          <w:szCs w:val="32"/>
          <w14:textFill>
            <w14:solidFill>
              <w14:schemeClr w14:val="tx1"/>
            </w14:solidFill>
          </w14:textFill>
        </w:rPr>
        <w:t>诚信建筑业企业作为专业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或劳务</w:t>
      </w:r>
      <w:r>
        <w:rPr>
          <w:rFonts w:hint="eastAsia" w:ascii="仿宋_GB2312" w:hAnsi="仿宋_GB2312" w:eastAsia="仿宋_GB2312" w:cs="仿宋_GB2312"/>
          <w:color w:val="000000" w:themeColor="text1"/>
          <w:sz w:val="32"/>
          <w:szCs w:val="32"/>
          <w14:textFill>
            <w14:solidFill>
              <w14:schemeClr w14:val="tx1"/>
            </w14:solidFill>
          </w14:textFill>
        </w:rPr>
        <w:t>分包单位，按形成的产值的1‰给予奖励。鼓励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区内</w:t>
      </w:r>
      <w:r>
        <w:rPr>
          <w:rFonts w:hint="eastAsia" w:ascii="仿宋_GB2312" w:hAnsi="仿宋_GB2312" w:eastAsia="仿宋_GB2312" w:cs="仿宋_GB2312"/>
          <w:color w:val="000000" w:themeColor="text1"/>
          <w:sz w:val="32"/>
          <w:szCs w:val="32"/>
          <w14:textFill>
            <w14:solidFill>
              <w14:schemeClr w14:val="tx1"/>
            </w14:solidFill>
          </w14:textFill>
        </w:rPr>
        <w:t>国有企业通过新成立、兼并、收购等方式取得相应施工资质，参与项目建设。</w:t>
      </w:r>
    </w:p>
    <w:p w14:paraId="625DFAB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w:t>
      </w:r>
      <w:r>
        <w:rPr>
          <w:rFonts w:hint="eastAsia" w:ascii="黑体" w:hAnsi="黑体" w:eastAsia="黑体" w:cs="黑体"/>
          <w:color w:val="000000" w:themeColor="text1"/>
          <w:sz w:val="32"/>
          <w:szCs w:val="32"/>
          <w:lang w:eastAsia="zh-CN"/>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培育壮大建筑企业发展</w:t>
      </w:r>
    </w:p>
    <w:p w14:paraId="0B7E075A">
      <w:pPr>
        <w:widowControl/>
        <w:numPr>
          <w:ilvl w:val="0"/>
          <w:numId w:val="0"/>
        </w:numPr>
        <w:spacing w:line="579" w:lineRule="exact"/>
        <w:ind w:leftChars="0" w:firstLine="640" w:firstLineChars="200"/>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（三）实施“建筑强企”培育行动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根据企业资质、信用等级、年度建筑业产值贡献等条件建立全区“重点支持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、“重点扶持”和“重点孵化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”建筑企业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培育清单。对具备3个施工总承包同时具备3个专业分包及以上资质、信用等级B级（含）以上、年度建筑业产值在本区贡献5亿元及以上的建筑业企业，首次列入“重点支持”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建筑业企业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培育清单的给予一次性10万元奖励；对具备2个施工总承包同时具备2个专业分包及以上资质、信用等级C级（含）以上、年度建筑业产值在本区贡献3亿元的建筑业企业，首次列入“重点扶持”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建筑业企业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培育清单的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给予一次性5万元奖励；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对具备1个施工总承包同时具备2个专业分包及以上资质、信用等级C级（含）以上、年度建筑业产值在本区贡献2亿元的建筑业企业，首次列入“重点孵化”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建筑业企业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培育清单的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给予一次性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万元奖励。</w:t>
      </w:r>
    </w:p>
    <w:p w14:paraId="4AC1BB27">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w:t>
      </w:r>
      <w:r>
        <w:rPr>
          <w:rFonts w:hint="default" w:ascii="仿宋_GB2312" w:hAnsi="仿宋_GB2312" w:eastAsia="仿宋_GB2312" w:cs="仿宋_GB2312"/>
          <w:color w:val="auto"/>
          <w:sz w:val="32"/>
          <w:szCs w:val="32"/>
          <w:highlight w:val="none"/>
          <w:lang w:val="en-US" w:eastAsia="zh-CN"/>
        </w:rPr>
        <w:t>对首次取得、迁入我区施工总承包一级资质、专业承包一级资质的建筑业企业，并在我区依法纳税、入统报送产值的建筑业企业，分别一次性给予20万元、10万元奖励。</w:t>
      </w:r>
    </w:p>
    <w:p w14:paraId="0D518E44">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（五）年度建筑业产值首次突破5亿元、3亿元、2亿元的，分别给予一次性5万元、3万元、2万元奖励。次年起，连续3年内建筑业产值突破5亿元的且每年同比增速20%及以上的建筑业企业，再给予一次性</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10万元奖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励。</w:t>
      </w:r>
    </w:p>
    <w:p w14:paraId="7695049B">
      <w:pPr>
        <w:widowControl/>
        <w:numPr>
          <w:ilvl w:val="0"/>
          <w:numId w:val="0"/>
        </w:numPr>
        <w:spacing w:line="579"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六）项目总投资在3000万元人民币以下（不含3000万元）、打捆审批项目中单个项目总投资在1000万元人民币以下（不含1000万元）具有通用技术、性能标准或技术、性能没有特殊要求的国家投资工程建设项目原则上实行评定分离机制，根据企业资质、业绩、信用、抗风险的能力等择优确定中标候选人。</w:t>
      </w:r>
    </w:p>
    <w:p w14:paraId="3CBF9BCE">
      <w:pPr>
        <w:widowControl/>
        <w:numPr>
          <w:ilvl w:val="0"/>
          <w:numId w:val="0"/>
        </w:numPr>
        <w:spacing w:line="579" w:lineRule="exact"/>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（七）注册在高新区的建筑业企业作为施工总承包单位承建的获得”鲁班奖“、国家优质工程奖金奖、银奖，分别给予一次性80万元、40万元、20万元的奖励；对工程项目获得</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天府杯</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金奖、银奖和省结构优质工程奖的建筑企业分别给予一次性20万元、</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15万元</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、10万元奖励；对工程项目获得”嘉州杯“金奖、银奖的建筑业企业，分别给予一次性5万元、</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3万元奖</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励，同一工程获同一性质不同级别奖项的，按最高级别奖励。</w:t>
      </w:r>
    </w:p>
    <w:p w14:paraId="5118724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三、支持企业开拓市场</w:t>
      </w:r>
    </w:p>
    <w:p w14:paraId="743323DD">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（八）支持企业“走出去”。区内建筑业企业在区外承揽项目，并将区外项目所有税收和产值留在区内的，按在区外当年完成建筑业产值的1.5‰给予一次性产值拓展奖励。</w:t>
      </w:r>
    </w:p>
    <w:p w14:paraId="1F5609DA">
      <w:pPr>
        <w:widowControl/>
        <w:numPr>
          <w:ilvl w:val="0"/>
          <w:numId w:val="0"/>
        </w:numPr>
        <w:spacing w:line="579"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新城建设局应当及时收集区内招商引资和重大产业项目建设中专业承包项目机会清单，通过部门和行业协会等途径，定时发布。鼓励在实施专业或劳务分包中优先选用“重点支持”、“重点扶持”和“重点孵化”培育清单中的建筑业企业。</w:t>
      </w:r>
    </w:p>
    <w:p w14:paraId="77A22566">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四、优化建筑业营商环境</w:t>
      </w:r>
    </w:p>
    <w:p w14:paraId="2143ADC2">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入开展工程领域保证金差异化管理，对“重点支持”、“重点扶持”和“重点孵化”建筑企业培育清单中信用等级B级的建筑企业，一年内未发生拖欠农民工工资行为的，准许将已缴存现金的建设项目采用非现金保证方式替换现金；对连续两年未发生拖欠农民工工资的，准予降低缴存比例；对连续三年未发生拖欠农民工工资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准予免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交保证金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鼓励政府投资项目（含国有企业投资项目）招标人对“重点支持”建筑业企业投标人免除投标担保。准许“重点支持”建筑业企业承建的项目在竣工验收合格后，优化项目锁证人员解锁时间。</w:t>
      </w:r>
    </w:p>
    <w:p w14:paraId="6883DADB">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（十一）政府和国有资金投资项目建设单位要全面推行施工过程结算，应按合同约定的计量周期或工程进度结算并支付工程款，原则上在工程竣工验收后3个月内完成结算。</w:t>
      </w:r>
    </w:p>
    <w:p w14:paraId="095A9E27">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（十二）严厉打击买标、卖标、围标串标和挂证等违法违规行为，鼓励举报，一经查实的纳入黑名单管理，维护高新区建筑市场良好营商环境。</w:t>
      </w:r>
    </w:p>
    <w:p w14:paraId="57B92FB2">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黑体" w:hAnsi="黑体" w:eastAsia="黑体" w:cs="黑体"/>
          <w:color w:val="000000" w:themeColor="text1"/>
          <w:kern w:val="0"/>
          <w:sz w:val="32"/>
          <w:szCs w:val="32"/>
          <w:lang w:val="en-US" w:eastAsia="zh-CN" w:bidi="ar"/>
          <w14:textFill>
            <w14:solidFill>
              <w14:schemeClr w14:val="tx1"/>
            </w14:solidFill>
          </w14:textFill>
        </w:rPr>
      </w:pPr>
      <w:r>
        <w:rPr>
          <w:rFonts w:hint="eastAsia" w:ascii="黑体" w:hAnsi="黑体" w:eastAsia="黑体" w:cs="黑体"/>
          <w:color w:val="000000" w:themeColor="text1"/>
          <w:kern w:val="0"/>
          <w:sz w:val="32"/>
          <w:szCs w:val="32"/>
          <w:lang w:val="en-US" w:eastAsia="zh-CN" w:bidi="ar"/>
          <w14:textFill>
            <w14:solidFill>
              <w14:schemeClr w14:val="tx1"/>
            </w14:solidFill>
          </w14:textFill>
        </w:rPr>
        <w:t xml:space="preserve">五、附则 </w:t>
      </w:r>
    </w:p>
    <w:p w14:paraId="501BA2BB">
      <w:pPr>
        <w:keepNext w:val="0"/>
        <w:keepLines w:val="0"/>
        <w:pageBreakBefore w:val="0"/>
        <w:widowControl/>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十三）产值以统计部门数据为准，税收以税务部门数据为准。补助兑现以年度为单位，各企业次年1月底前向新城建设局申报，新城建设局初审后汇总申请纳入当年财政预算。本措施所涉及的支持政策与省、市、区出台的其他政策有重复交叉的，按照就高原则，不重复</w:t>
      </w:r>
      <w:bookmarkStart w:id="0" w:name="_GoBack"/>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享受。凡政策支持期内发生</w:t>
      </w:r>
      <w:r>
        <w:rPr>
          <w:rFonts w:hint="eastAsia" w:ascii="仿宋_GB2312" w:hAnsi="仿宋_GB2312" w:eastAsia="仿宋_GB2312" w:cs="仿宋_GB2312"/>
          <w:color w:val="auto"/>
          <w:sz w:val="32"/>
          <w:szCs w:val="32"/>
          <w:lang w:val="en-US" w:eastAsia="zh-CN"/>
        </w:rPr>
        <w:t>重大安全事故及以上、重大环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境污染事故及以上、违法违规行为和失信行为的企业（单位），一律不得享受上述政策；国家和省上政策另有规定的从其规定。若本支持政策与中央、省、市新出台的相关政策有冲突，在本支持政策作出相应调整前，以中央、省、市新出台的相关政策为准。如受奖企业自享受该政策之日起，5年内转出乐山高新区，受奖企业须将所得扶持资金全额退还。</w:t>
      </w:r>
    </w:p>
    <w:p w14:paraId="757A223B">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十四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本办法由乐山高新区管委会负责解释，具体由乐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山</w:t>
      </w:r>
      <w:r>
        <w:rPr>
          <w:rFonts w:hint="eastAsia" w:ascii="仿宋_GB2312" w:hAnsi="仿宋_GB2312" w:eastAsia="仿宋_GB2312" w:cs="仿宋_GB2312"/>
          <w:color w:val="000000" w:themeColor="text1"/>
          <w:sz w:val="32"/>
          <w:szCs w:val="32"/>
          <w14:textFill>
            <w14:solidFill>
              <w14:schemeClr w14:val="tx1"/>
            </w14:solidFill>
          </w14:textFill>
        </w:rPr>
        <w:t>高新区新城建设局负责办理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自202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X</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X</w:t>
      </w:r>
      <w:r>
        <w:rPr>
          <w:rFonts w:hint="eastAsia" w:ascii="仿宋_GB2312" w:hAnsi="仿宋_GB2312" w:eastAsia="仿宋_GB2312" w:cs="仿宋_GB2312"/>
          <w:color w:val="000000" w:themeColor="text1"/>
          <w:sz w:val="32"/>
          <w:szCs w:val="32"/>
          <w14:textFill>
            <w14:solidFill>
              <w14:schemeClr w14:val="tx1"/>
            </w14:solidFill>
          </w14:textFill>
        </w:rPr>
        <w:t>日起实施，有效期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26F2CD8">
      <w:pPr>
        <w:rPr>
          <w:rFonts w:hint="eastAsia" w:ascii="仿宋_GB2312" w:hAnsi="仿宋_GB2312" w:eastAsia="仿宋_GB2312" w:cs="仿宋_GB2312"/>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60611"/>
    <w:rsid w:val="00245594"/>
    <w:rsid w:val="00636C30"/>
    <w:rsid w:val="01C963F3"/>
    <w:rsid w:val="03FE7EAB"/>
    <w:rsid w:val="04697A1A"/>
    <w:rsid w:val="059565ED"/>
    <w:rsid w:val="08147C9D"/>
    <w:rsid w:val="08CF2807"/>
    <w:rsid w:val="0C5E598A"/>
    <w:rsid w:val="0D8E229F"/>
    <w:rsid w:val="0EE162FF"/>
    <w:rsid w:val="11390774"/>
    <w:rsid w:val="113A16DB"/>
    <w:rsid w:val="11782527"/>
    <w:rsid w:val="12671A07"/>
    <w:rsid w:val="16CA259A"/>
    <w:rsid w:val="19AF3CC9"/>
    <w:rsid w:val="1A0117E7"/>
    <w:rsid w:val="1CD37CCF"/>
    <w:rsid w:val="1DED3012"/>
    <w:rsid w:val="1F941997"/>
    <w:rsid w:val="1FB61439"/>
    <w:rsid w:val="2109708B"/>
    <w:rsid w:val="21336C60"/>
    <w:rsid w:val="21F05FFE"/>
    <w:rsid w:val="2243084D"/>
    <w:rsid w:val="22D16A5E"/>
    <w:rsid w:val="23072480"/>
    <w:rsid w:val="28940C5A"/>
    <w:rsid w:val="2B073965"/>
    <w:rsid w:val="2BEA0B91"/>
    <w:rsid w:val="30EC1701"/>
    <w:rsid w:val="33C65A3F"/>
    <w:rsid w:val="35C44201"/>
    <w:rsid w:val="365E78F0"/>
    <w:rsid w:val="37922808"/>
    <w:rsid w:val="3A06114B"/>
    <w:rsid w:val="3C7C3A87"/>
    <w:rsid w:val="3C8A61A4"/>
    <w:rsid w:val="3E35767F"/>
    <w:rsid w:val="3EE05553"/>
    <w:rsid w:val="413761CE"/>
    <w:rsid w:val="42560611"/>
    <w:rsid w:val="44ED5522"/>
    <w:rsid w:val="45A831F7"/>
    <w:rsid w:val="47084895"/>
    <w:rsid w:val="47B04C20"/>
    <w:rsid w:val="48CB4F14"/>
    <w:rsid w:val="49B1014E"/>
    <w:rsid w:val="4B2B0B52"/>
    <w:rsid w:val="4B3C4B0D"/>
    <w:rsid w:val="4C2555A1"/>
    <w:rsid w:val="4CF7104C"/>
    <w:rsid w:val="4F244236"/>
    <w:rsid w:val="502D2C76"/>
    <w:rsid w:val="50D2381E"/>
    <w:rsid w:val="523F4EE3"/>
    <w:rsid w:val="553B4087"/>
    <w:rsid w:val="557355CF"/>
    <w:rsid w:val="55D138A2"/>
    <w:rsid w:val="56D53FC2"/>
    <w:rsid w:val="574B2DBF"/>
    <w:rsid w:val="5AF01470"/>
    <w:rsid w:val="5C437AEC"/>
    <w:rsid w:val="5CEE19DF"/>
    <w:rsid w:val="5D094A6B"/>
    <w:rsid w:val="5EFD23AE"/>
    <w:rsid w:val="5FA8056B"/>
    <w:rsid w:val="5FFF08AA"/>
    <w:rsid w:val="5FFF7512"/>
    <w:rsid w:val="617A5F38"/>
    <w:rsid w:val="648F5856"/>
    <w:rsid w:val="65181CEF"/>
    <w:rsid w:val="6548383B"/>
    <w:rsid w:val="660364FC"/>
    <w:rsid w:val="66EC6F90"/>
    <w:rsid w:val="677F6757"/>
    <w:rsid w:val="67D91C5A"/>
    <w:rsid w:val="6A70612A"/>
    <w:rsid w:val="6C184383"/>
    <w:rsid w:val="6F8F4CFF"/>
    <w:rsid w:val="7007308C"/>
    <w:rsid w:val="71752277"/>
    <w:rsid w:val="723C4FF7"/>
    <w:rsid w:val="731A4E85"/>
    <w:rsid w:val="73C372CA"/>
    <w:rsid w:val="74651CFB"/>
    <w:rsid w:val="75E4177A"/>
    <w:rsid w:val="771222E8"/>
    <w:rsid w:val="77E15F71"/>
    <w:rsid w:val="77F02658"/>
    <w:rsid w:val="78852DA0"/>
    <w:rsid w:val="7956298E"/>
    <w:rsid w:val="7A822690"/>
    <w:rsid w:val="7B2965AD"/>
    <w:rsid w:val="7BB8348D"/>
    <w:rsid w:val="7BF47568"/>
    <w:rsid w:val="7CF67E54"/>
    <w:rsid w:val="7D347921"/>
    <w:rsid w:val="7EC32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table of authorities1"/>
    <w:basedOn w:val="1"/>
    <w:next w:val="1"/>
    <w:qFormat/>
    <w:uiPriority w:val="0"/>
    <w:pPr>
      <w:widowControl w:val="0"/>
      <w:spacing w:before="0" w:after="0"/>
      <w:ind w:left="200" w:leftChars="200" w:right="0"/>
      <w:jc w:val="both"/>
    </w:pPr>
    <w:rPr>
      <w:rFonts w:ascii="Calibri" w:hAnsi="Calibri" w:eastAsia="宋体" w:cs="Times New Roman"/>
      <w:kern w:val="2"/>
      <w:sz w:val="32"/>
      <w:szCs w:val="32"/>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2216</Words>
  <Characters>2252</Characters>
  <Lines>0</Lines>
  <Paragraphs>0</Paragraphs>
  <TotalTime>6</TotalTime>
  <ScaleCrop>false</ScaleCrop>
  <LinksUpToDate>false</LinksUpToDate>
  <CharactersWithSpaces>2253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2025-05-22T01:47:00Z</dcterms:created>
  <dc:creator>I.Believe</dc:creator>
  <cp:lastModifiedBy>I.Believe</cp:lastModifiedBy>
  <cp:lastPrinted>2025-06-26T00:58:00Z</cp:lastPrinted>
  <dcterms:modified xsi:type="dcterms:W3CDTF">2025-06-26T02:05:21Z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BD8C3614ABD34991984F3E7D1EB82149_13</vt:lpwstr>
  </property>
  <property fmtid="{D5CDD505-2E9C-101B-9397-08002B2CF9AE}" pid="4" name="KSOTemplateDocerSaveRecord">
    <vt:lpwstr>eyJoZGlkIjoiZjQyODQ3NmU3MzM0MTExZGM0ZTA5NDg1NWYxNTdmYjMiLCJ1c2VySWQiOiIyMzk0NjU3NzYifQ==</vt:lpwstr>
  </property>
</Properties>
</file>