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F77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5"/>
          <w:sz w:val="44"/>
          <w:szCs w:val="44"/>
          <w:lang w:eastAsia="zh-CN"/>
        </w:rPr>
        <w:t>乐山高新区加快服务业高质量发展支持政策</w:t>
      </w:r>
    </w:p>
    <w:p w14:paraId="3125D5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right="0"/>
        <w:jc w:val="center"/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pacing w:val="5"/>
          <w:sz w:val="32"/>
          <w:szCs w:val="32"/>
          <w:lang w:eastAsia="zh-CN"/>
        </w:rPr>
        <w:t>）</w:t>
      </w:r>
    </w:p>
    <w:p w14:paraId="3F2F26B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right="0"/>
        <w:jc w:val="both"/>
        <w:rPr>
          <w:rFonts w:hint="eastAsia" w:ascii="Times New Roman" w:hAnsi="Times New Roman" w:eastAsia="仿宋_GB2312" w:cs="仿宋_GB2312"/>
          <w:spacing w:val="5"/>
          <w:sz w:val="32"/>
          <w:szCs w:val="32"/>
          <w:lang w:eastAsia="zh-CN"/>
        </w:rPr>
      </w:pPr>
    </w:p>
    <w:p w14:paraId="7CB112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64" w:firstLineChars="200"/>
        <w:jc w:val="both"/>
        <w:rPr>
          <w:lang w:eastAsia="zh-CN"/>
        </w:rPr>
      </w:pPr>
      <w:r>
        <w:rPr>
          <w:spacing w:val="6"/>
          <w:lang w:eastAsia="zh-CN"/>
        </w:rPr>
        <w:t>为加快构建全区现代服务业发展体系，进一步推动服</w:t>
      </w:r>
      <w:r>
        <w:rPr>
          <w:spacing w:val="5"/>
          <w:lang w:eastAsia="zh-CN"/>
        </w:rPr>
        <w:t>务业高质量发展，</w:t>
      </w:r>
      <w:r>
        <w:rPr>
          <w:rFonts w:hint="eastAsia"/>
          <w:spacing w:val="5"/>
          <w:lang w:val="en-US" w:eastAsia="zh-CN"/>
        </w:rPr>
        <w:t>深入贯彻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《商务部等</w:t>
      </w:r>
      <w:r>
        <w:rPr>
          <w:rFonts w:hint="eastAsia" w:ascii="仿宋_GB2312" w:hAnsi="仿宋_GB2312" w:cs="仿宋_GB2312"/>
          <w:spacing w:val="5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部门印发</w:t>
      </w:r>
      <w:r>
        <w:rPr>
          <w:rFonts w:hint="eastAsia" w:ascii="仿宋_GB2312" w:hAnsi="仿宋_GB2312" w:cs="仿宋_GB2312"/>
          <w:spacing w:val="5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关于扩大服务消费的若干政策措施</w:t>
      </w:r>
      <w:r>
        <w:rPr>
          <w:rFonts w:hint="eastAsia" w:ascii="仿宋_GB2312" w:hAnsi="仿宋_GB2312" w:cs="仿宋_GB2312"/>
          <w:spacing w:val="5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的通知》</w:t>
      </w:r>
      <w:r>
        <w:rPr>
          <w:rFonts w:hint="eastAsia" w:ascii="仿宋_GB2312" w:hAnsi="仿宋_GB2312" w:cs="仿宋_GB2312"/>
          <w:spacing w:val="5"/>
          <w:lang w:val="en-US" w:eastAsia="zh-CN"/>
        </w:rPr>
        <w:t>、</w:t>
      </w:r>
      <w:r>
        <w:rPr>
          <w:rFonts w:hint="eastAsia"/>
          <w:spacing w:val="5"/>
          <w:lang w:val="en-US" w:eastAsia="zh-CN"/>
        </w:rPr>
        <w:t>《四川省人民政府办公厅印发&lt;关于进一步推动经济运行回升向好的若干政策措施&gt;》（川办规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〔</w:t>
      </w:r>
      <w:r>
        <w:rPr>
          <w:rFonts w:hint="eastAsia" w:ascii="仿宋_GB2312" w:hAnsi="仿宋_GB2312" w:cs="仿宋_GB2312"/>
          <w:spacing w:val="5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5"/>
          <w:lang w:val="en-US" w:eastAsia="zh-CN"/>
        </w:rPr>
        <w:t>〕</w:t>
      </w:r>
      <w:r>
        <w:rPr>
          <w:rFonts w:hint="eastAsia" w:ascii="仿宋_GB2312" w:hAnsi="仿宋_GB2312" w:cs="仿宋_GB2312"/>
          <w:spacing w:val="5"/>
          <w:lang w:val="en-US" w:eastAsia="zh-CN"/>
        </w:rPr>
        <w:t>3号</w:t>
      </w:r>
      <w:r>
        <w:rPr>
          <w:rFonts w:hint="eastAsia"/>
          <w:spacing w:val="5"/>
          <w:lang w:val="en-US" w:eastAsia="zh-CN"/>
        </w:rPr>
        <w:t>）</w:t>
      </w:r>
      <w:r>
        <w:rPr>
          <w:rFonts w:hint="eastAsia" w:ascii="仿宋_GB2312" w:hAnsi="仿宋_GB2312" w:cs="仿宋_GB2312"/>
          <w:spacing w:val="5"/>
          <w:lang w:val="en-US" w:eastAsia="zh-CN"/>
        </w:rPr>
        <w:t>等文件精神，</w:t>
      </w:r>
      <w:r>
        <w:rPr>
          <w:spacing w:val="5"/>
          <w:lang w:eastAsia="zh-CN"/>
        </w:rPr>
        <w:t>结合高新区实际，制定如下支持政策。</w:t>
      </w:r>
    </w:p>
    <w:p w14:paraId="0386D4D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60" w:lineRule="exact"/>
        <w:ind w:left="0" w:leftChars="0" w:right="0" w:firstLine="680" w:firstLineChars="200"/>
        <w:jc w:val="both"/>
        <w:rPr>
          <w:rFonts w:hint="eastAsia" w:ascii="黑体" w:hAnsi="黑体" w:eastAsia="黑体" w:cs="黑体"/>
          <w:spacing w:val="-11"/>
        </w:rPr>
      </w:pPr>
      <w:r>
        <w:rPr>
          <w:rFonts w:hint="eastAsia" w:ascii="黑体" w:hAnsi="黑体" w:eastAsia="黑体" w:cs="黑体"/>
          <w:spacing w:val="10"/>
          <w:lang w:eastAsia="zh-CN"/>
        </w:rPr>
        <w:t>一、</w:t>
      </w:r>
      <w:r>
        <w:rPr>
          <w:rFonts w:hint="eastAsia" w:ascii="黑体" w:hAnsi="黑体" w:eastAsia="黑体" w:cs="黑体"/>
          <w:spacing w:val="-11"/>
          <w:lang w:eastAsia="zh-CN"/>
        </w:rPr>
        <w:t>支持</w:t>
      </w:r>
      <w:r>
        <w:rPr>
          <w:rFonts w:ascii="黑体" w:hAnsi="黑体" w:eastAsia="黑体" w:cs="黑体"/>
          <w:spacing w:val="-11"/>
        </w:rPr>
        <w:t>“个转企”</w:t>
      </w:r>
    </w:p>
    <w:p w14:paraId="65E227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right="0" w:firstLine="656" w:firstLineChars="200"/>
        <w:jc w:val="both"/>
        <w:rPr>
          <w:rFonts w:ascii="Times New Roman" w:hAnsi="Times New Roman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对完成“个转企”的新企业，向其提供</w:t>
      </w:r>
      <w:r>
        <w:rPr>
          <w:rFonts w:hint="eastAsia" w:ascii="Times New Roman" w:hAnsi="Times New Roman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三年的</w:t>
      </w:r>
      <w:r>
        <w:rPr>
          <w:rFonts w:hint="eastAsia" w:ascii="Times New Roman" w:hAnsi="Times New Roman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财税会计服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务补贴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3万元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每年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1万元。</w:t>
      </w:r>
    </w:p>
    <w:p w14:paraId="26BA264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60" w:lineRule="exact"/>
        <w:ind w:left="0" w:right="0" w:firstLine="680" w:firstLineChars="200"/>
        <w:jc w:val="both"/>
        <w:rPr>
          <w:rFonts w:hint="eastAsia" w:ascii="黑体" w:hAnsi="黑体" w:eastAsia="黑体" w:cs="黑体"/>
          <w:color w:val="000000" w:themeColor="text1"/>
          <w:spacing w:val="1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10"/>
          <w:lang w:eastAsia="zh-CN"/>
          <w14:textFill>
            <w14:solidFill>
              <w14:schemeClr w14:val="tx1"/>
            </w14:solidFill>
          </w14:textFill>
        </w:rPr>
        <w:t>支持“</w:t>
      </w:r>
      <w:r>
        <w:rPr>
          <w:rFonts w:ascii="黑体" w:hAnsi="黑体" w:eastAsia="黑体" w:cs="黑体"/>
          <w:color w:val="000000" w:themeColor="text1"/>
          <w:spacing w:val="10"/>
          <w:lang w:eastAsia="zh-CN"/>
          <w14:textFill>
            <w14:solidFill>
              <w14:schemeClr w14:val="tx1"/>
            </w14:solidFill>
          </w14:textFill>
        </w:rPr>
        <w:t>升规（限）入统”</w:t>
      </w:r>
    </w:p>
    <w:p w14:paraId="2604FD5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56" w:firstLineChars="200"/>
        <w:jc w:val="both"/>
        <w:rPr>
          <w:rFonts w:hint="eastAsia" w:ascii="仿宋_GB2312" w:hAnsi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4"/>
          <w:lang w:eastAsia="zh-CN"/>
          <w14:textFill>
            <w14:solidFill>
              <w14:schemeClr w14:val="tx1"/>
            </w14:solidFill>
          </w14:textFill>
        </w:rPr>
        <w:t>对新纳入“限上”统计并履行统计义务的批发、零售、住宿、餐饮单位及“规上”统计并履行统计义务的服务业企业，</w:t>
      </w:r>
      <w:r>
        <w:rPr>
          <w:rFonts w:hint="eastAsia"/>
          <w:color w:val="000000" w:themeColor="text1"/>
          <w:spacing w:val="4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/>
          <w:color w:val="000000" w:themeColor="text1"/>
          <w:spacing w:val="4"/>
          <w:lang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lang w:eastAsia="zh-CN"/>
          <w14:textFill>
            <w14:solidFill>
              <w14:schemeClr w14:val="tx1"/>
            </w14:solidFill>
          </w14:textFill>
        </w:rPr>
        <w:t>万</w:t>
      </w:r>
      <w:r>
        <w:rPr>
          <w:rFonts w:hint="eastAsia"/>
          <w:color w:val="000000" w:themeColor="text1"/>
          <w:spacing w:val="4"/>
          <w:lang w:eastAsia="zh-CN"/>
          <w14:textFill>
            <w14:solidFill>
              <w14:schemeClr w14:val="tx1"/>
            </w14:solidFill>
          </w14:textFill>
        </w:rPr>
        <w:t>元/户的统计平台建设补助。</w:t>
      </w:r>
    </w:p>
    <w:p w14:paraId="4BB65746">
      <w:pPr>
        <w:keepNext w:val="0"/>
        <w:keepLines w:val="0"/>
        <w:pageBreakBefore w:val="0"/>
        <w:widowControl w:val="0"/>
        <w:tabs>
          <w:tab w:val="center" w:pos="4366"/>
        </w:tabs>
        <w:kinsoku/>
        <w:wordWrap/>
        <w:overflowPunct/>
        <w:topLinePunct w:val="0"/>
        <w:bidi w:val="0"/>
        <w:adjustRightInd/>
        <w:spacing w:line="560" w:lineRule="exact"/>
        <w:ind w:left="0" w:right="0" w:firstLine="656" w:firstLineChars="200"/>
        <w:jc w:val="both"/>
        <w:outlineLvl w:val="0"/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三、支持服务业企业上档升级、做大做强</w:t>
      </w:r>
    </w:p>
    <w:p w14:paraId="1250E40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8" w:firstLineChars="200"/>
        <w:jc w:val="both"/>
        <w:rPr>
          <w:rFonts w:hint="eastAsia" w:ascii="仿宋_GB2312" w:hAnsi="仿宋_GB2312" w:eastAsia="仿宋_GB2312" w:cs="仿宋_GB2312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（一）对服务业企业上档升级实施奖励。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在高新区设立独立法人资格、纳入“规上”“限上”统计并履行统计义务的年销售额首次达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000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000万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元、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亿元以上的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lang w:val="en-US" w:eastAsia="zh-CN"/>
          <w14:textFill>
            <w14:solidFill>
              <w14:schemeClr w14:val="tx1"/>
            </w14:solidFill>
          </w14:textFill>
        </w:rPr>
        <w:t>服务业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企业，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年销售额首次达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1亿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元、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亿元、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亿元以上的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批发企业，年销售额首次达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2000万元、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6000万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元、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亿元</w:t>
      </w:r>
      <w:r>
        <w:rPr>
          <w:rFonts w:hint="eastAsia" w:ascii="仿宋_GB2312" w:hAnsi="仿宋_GB2312" w:eastAsia="仿宋_GB2312" w:cs="仿宋_GB2312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以上的零售企业，年销售额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首次达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500万元、1000万元、2000万元</w:t>
      </w:r>
      <w:r>
        <w:rPr>
          <w:rFonts w:hint="eastAsia" w:ascii="仿宋_GB2312" w:hAnsi="仿宋_GB2312" w:eastAsia="仿宋_GB2312" w:cs="仿宋_GB2312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以上住宿餐饮企业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pacing w:val="5"/>
          <w:lang w:eastAsia="zh-CN"/>
          <w14:textFill>
            <w14:solidFill>
              <w14:schemeClr w14:val="tx1"/>
            </w14:solidFill>
          </w14:textFill>
        </w:rPr>
        <w:t>达到该标准年度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>的次年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lang w:val="en-US" w:eastAsia="zh-CN"/>
          <w14:textFill>
            <w14:solidFill>
              <w14:schemeClr w14:val="tx1"/>
            </w14:solidFill>
          </w14:textFill>
        </w:rPr>
        <w:t>分别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>给予企业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10万元、20万元、30万元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一次性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>奖励。同一企业最多可连续三年获得奖补。</w:t>
      </w:r>
    </w:p>
    <w:p w14:paraId="7BBDA70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8" w:firstLineChars="200"/>
        <w:jc w:val="both"/>
        <w:rPr>
          <w:rFonts w:hint="default" w:ascii="楷体_GB2312" w:hAnsi="楷体_GB2312" w:eastAsia="楷体_GB2312" w:cs="楷体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（二）对服务业企业营收增长给予奖励。</w:t>
      </w:r>
      <w:r>
        <w:rPr>
          <w:rFonts w:hint="eastAsia" w:ascii="仿宋_GB2312" w:hAnsi="仿宋_GB2312" w:eastAsia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cs="仿宋_GB2312"/>
          <w:color w:val="000000" w:themeColor="text1"/>
          <w:spacing w:val="2"/>
          <w:lang w:val="en-US" w:eastAsia="zh-CN"/>
          <w14:textFill>
            <w14:solidFill>
              <w14:schemeClr w14:val="tx1"/>
            </w14:solidFill>
          </w14:textFill>
        </w:rPr>
        <w:t>当年营收达升规标准且增幅达30%、50%、70%的规上服务业企业、限上批零住餐企业，在达到该标准年度的次年分别给予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万元、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万元、1</w:t>
      </w:r>
      <w:r>
        <w:rPr>
          <w:rFonts w:hint="eastAsia" w:ascii="仿宋_GB2312" w:hAnsi="仿宋_GB2312" w:eastAsia="仿宋_GB2312" w:cs="仿宋_GB2312"/>
          <w:color w:val="000000" w:themeColor="text1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lang w:eastAsia="zh-CN" w:bidi="ar"/>
          <w14:textFill>
            <w14:solidFill>
              <w14:schemeClr w14:val="tx1"/>
            </w14:solidFill>
          </w14:textFill>
        </w:rPr>
        <w:t>万元一次性奖励。</w:t>
      </w:r>
      <w:r>
        <w:rPr>
          <w:rFonts w:hint="eastAsia" w:ascii="仿宋_GB2312" w:hAnsi="仿宋_GB2312" w:eastAsia="仿宋_GB2312" w:cs="仿宋_GB2312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>同一企业最多可连续三年获得奖补。</w:t>
      </w:r>
    </w:p>
    <w:p w14:paraId="1257E57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7" w:firstLineChars="200"/>
        <w:jc w:val="both"/>
        <w:rPr>
          <w:rFonts w:hint="eastAsia" w:ascii="仿宋_GB2312" w:hAnsi="仿宋_GB2312" w:eastAsia="仿宋_GB2312" w:cs="仿宋_GB2312"/>
          <w:b/>
          <w:bCs/>
          <w:color w:val="000000" w:themeColor="text1"/>
          <w:spacing w:val="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"/>
          <w:lang w:eastAsia="zh-CN" w:bidi="ar"/>
          <w14:textFill>
            <w14:solidFill>
              <w14:schemeClr w14:val="tx1"/>
            </w14:solidFill>
          </w14:textFill>
        </w:rPr>
        <w:t>既达到上档升级标准又实现营收增长的企业，按就高不重复原则享受补助。</w:t>
      </w:r>
      <w:bookmarkStart w:id="0" w:name="_GoBack"/>
      <w:bookmarkEnd w:id="0"/>
    </w:p>
    <w:p w14:paraId="44A9357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snapToGrid w:val="0"/>
          <w:color w:val="000000" w:themeColor="text1"/>
          <w:spacing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（三）鼓励限额以上商贸企业开展连锁经营。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商贸企业年度新增5个及以上连锁经营点位的，给予每个点位1万元奖励，单个企业最高不超过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万元。</w:t>
      </w:r>
    </w:p>
    <w:p w14:paraId="37F5AA5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支持核心商业区打造高质量消费新场景</w:t>
      </w:r>
    </w:p>
    <w:p w14:paraId="37ED97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对入驻乐山高新区规划确定的核心商业集聚区、符合区域服务业发展导向的门店，给予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入驻激励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。门店实际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投资强度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达到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元/平方米以上的，按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元/平方米给予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入驻激励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，单个门店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按实际使用面积进行激励，金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额不超过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。享受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政策的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商家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需承诺自正式营业之日起持续经营不少于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年，若商家停业、注销、搬离或变更核心业态，需返还已享受的政策激励资金。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激励资金分阶段兑付，正式营业后兑付40%，持续营业1年后兑付30%，满3年经营期限兑付30%。</w:t>
      </w:r>
    </w:p>
    <w:p w14:paraId="3F1B77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五、支持核心商业区基础门店开设</w:t>
      </w:r>
    </w:p>
    <w:p w14:paraId="587F74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0" w:firstLineChars="200"/>
        <w:jc w:val="both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对入驻乐山高新区规划确定的核心商业集聚区的服务业商家（含个体工商户），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满足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门店实际使用面积达80平方米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以上且</w:t>
      </w:r>
      <w: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纳入商圈统一收银的，按350元/平方米的标准给予奖励，单个门店奖励金额最高不超过15万元。</w:t>
      </w:r>
    </w:p>
    <w:p w14:paraId="74655D7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56" w:firstLineChars="200"/>
        <w:jc w:val="both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、支持产销（主辅）分离</w:t>
      </w:r>
    </w:p>
    <w:p w14:paraId="386B7C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40" w:firstLineChars="200"/>
        <w:jc w:val="both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实现产销（主辅）分离首次入统报表一年后且运营稳定的企业，根据年度销售额每户给予一次性奖补。奖补金额按销售额的5‰进行奖补，最高不超过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万元。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该条与上档升级按照就高不重复原则享受补助。</w:t>
      </w:r>
    </w:p>
    <w:p w14:paraId="33B431B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56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、支持消费场景改造提升</w:t>
      </w:r>
    </w:p>
    <w:p w14:paraId="7F7FF2D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支持新建、改建城市商业综合体。对新建商业建筑面积2万平方米以上的商业综合体，且商铺开业率达到60％以上的商业设施，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按面积大小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给予投资主体100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-200万元一次性激励。对改建商业建筑面积1万平方米以上，且商铺开业率达到60％以上的老旧商业设施，按改建面积大小给予投资主体50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-100万元一次性激励。</w:t>
      </w:r>
    </w:p>
    <w:p w14:paraId="4262774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60" w:lineRule="exact"/>
        <w:ind w:leftChars="200" w:right="0" w:rightChars="0" w:firstLine="328" w:firstLineChars="100"/>
        <w:jc w:val="both"/>
        <w:rPr>
          <w:rFonts w:hint="eastAsia" w:ascii="黑体" w:hAnsi="黑体" w:eastAsia="黑体" w:cs="黑体"/>
          <w:color w:val="000000" w:themeColor="text1"/>
          <w:spacing w:val="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4"/>
          <w:lang w:val="en-US" w:eastAsia="zh-CN"/>
          <w14:textFill>
            <w14:solidFill>
              <w14:schemeClr w14:val="tx1"/>
            </w14:solidFill>
          </w14:textFill>
        </w:rPr>
        <w:t>八、支持平台经济创新项目建设</w:t>
      </w:r>
    </w:p>
    <w:p w14:paraId="563382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64" w:firstLineChars="200"/>
        <w:jc w:val="both"/>
        <w:rPr>
          <w:rFonts w:hint="eastAsia" w:ascii="仿宋_GB2312" w:hAnsi="仿宋_GB2312" w:eastAsia="仿宋_GB2312" w:cs="仿宋_GB2312"/>
          <w:color w:val="0000FF"/>
          <w:spacing w:val="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（一）支持电商企业降低物流成本。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乐山高新区规划确定的核心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集聚区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注册并纳入“规上”或“限上”统计的直播电商企业（含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电商类供应链公司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），按其从高新区实际发货的快递单量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及对高新区相关贡献情况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给予补贴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auto"/>
          <w:spacing w:val="6"/>
          <w:lang w:val="en-US" w:eastAsia="zh-CN"/>
        </w:rPr>
        <w:t>10万单（含10万）以上，每单补贴0.5元，单户企业补贴总额不超过50万元。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企业须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物流费用在乐山高新区结算的凭证。</w:t>
      </w:r>
    </w:p>
    <w:p w14:paraId="5BF8200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64" w:firstLineChars="200"/>
        <w:jc w:val="both"/>
        <w:rPr>
          <w:rFonts w:hint="default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鼓励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区内设立的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外贸综合服务企业创新开展线上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线下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综合服务，按其实际投入和</w:t>
      </w:r>
      <w:r>
        <w:rPr>
          <w:rFonts w:hint="eastAsia" w:ascii="仿宋_GB2312" w:hAnsi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lang w:val="en-US" w:eastAsia="zh-CN"/>
          <w14:textFill>
            <w14:solidFill>
              <w14:schemeClr w14:val="tx1"/>
            </w14:solidFill>
          </w14:textFill>
        </w:rPr>
        <w:t>成效给予激励，单个企业最高不超过50万元。</w:t>
      </w:r>
    </w:p>
    <w:p w14:paraId="7D7AA6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708" w:firstLineChars="200"/>
        <w:jc w:val="both"/>
        <w:rPr>
          <w:lang w:eastAsia="zh-CN"/>
        </w:rPr>
      </w:pPr>
      <w:r>
        <w:rPr>
          <w:spacing w:val="17"/>
          <w:lang w:eastAsia="zh-CN"/>
        </w:rPr>
        <w:t>本支持政策适用于在乐山高新区注册并依法纳税的</w:t>
      </w:r>
      <w:r>
        <w:rPr>
          <w:spacing w:val="-2"/>
          <w:lang w:eastAsia="zh-CN"/>
        </w:rPr>
        <w:t>从事服务业的企业、组织。</w:t>
      </w:r>
      <w:r>
        <w:rPr>
          <w:spacing w:val="7"/>
          <w:lang w:eastAsia="zh-CN"/>
        </w:rPr>
        <w:t>凡当年发生</w:t>
      </w:r>
      <w:r>
        <w:rPr>
          <w:rFonts w:hint="eastAsia"/>
          <w:spacing w:val="7"/>
          <w:lang w:val="en-US" w:eastAsia="zh-CN"/>
        </w:rPr>
        <w:t>较大及以上</w:t>
      </w:r>
      <w:r>
        <w:rPr>
          <w:spacing w:val="7"/>
          <w:lang w:eastAsia="zh-CN"/>
        </w:rPr>
        <w:t>安全事故、重大环境污染事故、严重违法违规行为、严重失信行为的企业，</w:t>
      </w:r>
      <w:r>
        <w:rPr>
          <w:spacing w:val="8"/>
          <w:lang w:eastAsia="zh-CN"/>
        </w:rPr>
        <w:t>不得享受上述政策。</w:t>
      </w:r>
    </w:p>
    <w:p w14:paraId="7227C05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64" w:firstLineChars="200"/>
        <w:jc w:val="both"/>
        <w:rPr>
          <w:lang w:eastAsia="zh-CN"/>
        </w:rPr>
      </w:pPr>
      <w:r>
        <w:rPr>
          <w:spacing w:val="6"/>
          <w:lang w:eastAsia="zh-CN"/>
        </w:rPr>
        <w:t>本支持政策按照就高不重复享受同一类型支持政策的原则执行。若本支持政策与中央、省、市出台的相关政策有</w:t>
      </w:r>
      <w:r>
        <w:rPr>
          <w:rFonts w:hint="eastAsia"/>
          <w:spacing w:val="6"/>
          <w:lang w:val="en-US" w:eastAsia="zh-CN"/>
        </w:rPr>
        <w:t>重叠的</w:t>
      </w:r>
      <w:r>
        <w:rPr>
          <w:spacing w:val="6"/>
          <w:lang w:eastAsia="zh-CN"/>
        </w:rPr>
        <w:t>，</w:t>
      </w:r>
      <w:r>
        <w:rPr>
          <w:rFonts w:hint="eastAsia"/>
          <w:spacing w:val="6"/>
          <w:lang w:val="en-US" w:eastAsia="zh-CN"/>
        </w:rPr>
        <w:t>按就高标准执行</w:t>
      </w:r>
      <w:r>
        <w:rPr>
          <w:rFonts w:hint="eastAsia"/>
          <w:spacing w:val="6"/>
          <w:lang w:eastAsia="zh-CN"/>
        </w:rPr>
        <w:t>；</w:t>
      </w:r>
      <w:r>
        <w:rPr>
          <w:spacing w:val="6"/>
          <w:lang w:eastAsia="zh-CN"/>
        </w:rPr>
        <w:t>如</w:t>
      </w:r>
      <w:r>
        <w:rPr>
          <w:rFonts w:hint="eastAsia"/>
          <w:spacing w:val="6"/>
          <w:lang w:val="en-US" w:eastAsia="zh-CN"/>
        </w:rPr>
        <w:t>重叠政策中</w:t>
      </w:r>
      <w:r>
        <w:rPr>
          <w:spacing w:val="6"/>
          <w:lang w:eastAsia="zh-CN"/>
        </w:rPr>
        <w:t>涉及上级要求高新区配套</w:t>
      </w:r>
      <w:r>
        <w:rPr>
          <w:rFonts w:hint="eastAsia"/>
          <w:spacing w:val="6"/>
          <w:lang w:val="en-US" w:eastAsia="zh-CN"/>
        </w:rPr>
        <w:t>的</w:t>
      </w:r>
      <w:r>
        <w:rPr>
          <w:spacing w:val="6"/>
          <w:lang w:eastAsia="zh-CN"/>
        </w:rPr>
        <w:t>，</w:t>
      </w:r>
      <w:r>
        <w:rPr>
          <w:rFonts w:hint="eastAsia"/>
          <w:spacing w:val="6"/>
          <w:lang w:val="en-US" w:eastAsia="zh-CN"/>
        </w:rPr>
        <w:t>本政策高新区本级支持金额计入高新区配套部分</w:t>
      </w:r>
      <w:r>
        <w:rPr>
          <w:spacing w:val="4"/>
          <w:lang w:eastAsia="zh-CN"/>
        </w:rPr>
        <w:t>。</w:t>
      </w:r>
    </w:p>
    <w:p w14:paraId="07D67A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0" w:lineRule="exact"/>
        <w:ind w:left="0" w:right="0" w:firstLine="664" w:firstLineChars="200"/>
        <w:jc w:val="both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本政策由乐山高新区管委会负责解释，具体由乐山高新区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商务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合作局办理。本政策自202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施行，有效期3年，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原则上施行期间每半年开展一次绩效跟踪评估工作，根据评估情况适时调整相关内容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720" w:footer="720" w:gutter="113"/>
      <w:pgNumType w:fmt="decimal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91D8A">
    <w:pPr>
      <w:spacing w:line="234" w:lineRule="auto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E3A9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E3A9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DF846"/>
    <w:multiLevelType w:val="singleLevel"/>
    <w:tmpl w:val="9BEDF84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917CD"/>
    <w:rsid w:val="00056AA9"/>
    <w:rsid w:val="000A59AF"/>
    <w:rsid w:val="00212CDA"/>
    <w:rsid w:val="00391403"/>
    <w:rsid w:val="003A5BA5"/>
    <w:rsid w:val="003C2682"/>
    <w:rsid w:val="004D001A"/>
    <w:rsid w:val="0060330A"/>
    <w:rsid w:val="006A09D3"/>
    <w:rsid w:val="007113F7"/>
    <w:rsid w:val="00837A1E"/>
    <w:rsid w:val="00855F54"/>
    <w:rsid w:val="00920E86"/>
    <w:rsid w:val="009C2014"/>
    <w:rsid w:val="00E96836"/>
    <w:rsid w:val="00F91CCD"/>
    <w:rsid w:val="01297E4C"/>
    <w:rsid w:val="02B26296"/>
    <w:rsid w:val="030173B3"/>
    <w:rsid w:val="03065D42"/>
    <w:rsid w:val="03465BED"/>
    <w:rsid w:val="044F462F"/>
    <w:rsid w:val="05793C8D"/>
    <w:rsid w:val="06572BE7"/>
    <w:rsid w:val="06FB6390"/>
    <w:rsid w:val="07F4584C"/>
    <w:rsid w:val="096F2506"/>
    <w:rsid w:val="0A9E7CF1"/>
    <w:rsid w:val="0AA54ECA"/>
    <w:rsid w:val="0B790D33"/>
    <w:rsid w:val="0CCC472A"/>
    <w:rsid w:val="0D073416"/>
    <w:rsid w:val="0DBA27A0"/>
    <w:rsid w:val="0DF70178"/>
    <w:rsid w:val="0EA226F8"/>
    <w:rsid w:val="0EB97AEE"/>
    <w:rsid w:val="0F190E46"/>
    <w:rsid w:val="0FE027C1"/>
    <w:rsid w:val="10B4201D"/>
    <w:rsid w:val="12F714BE"/>
    <w:rsid w:val="13A15435"/>
    <w:rsid w:val="13BA19D7"/>
    <w:rsid w:val="143B4C4F"/>
    <w:rsid w:val="14985E63"/>
    <w:rsid w:val="14FD3C37"/>
    <w:rsid w:val="154C46CE"/>
    <w:rsid w:val="15CC6A4F"/>
    <w:rsid w:val="16215488"/>
    <w:rsid w:val="1783099B"/>
    <w:rsid w:val="185D2F9A"/>
    <w:rsid w:val="18925339"/>
    <w:rsid w:val="18F4137B"/>
    <w:rsid w:val="193479D7"/>
    <w:rsid w:val="193B5402"/>
    <w:rsid w:val="19821606"/>
    <w:rsid w:val="19843678"/>
    <w:rsid w:val="19B72B7E"/>
    <w:rsid w:val="1A302507"/>
    <w:rsid w:val="1A6A7C51"/>
    <w:rsid w:val="1AFC2649"/>
    <w:rsid w:val="1BBD125A"/>
    <w:rsid w:val="1DA63635"/>
    <w:rsid w:val="1DC53476"/>
    <w:rsid w:val="1F0A7F07"/>
    <w:rsid w:val="1FC26D2F"/>
    <w:rsid w:val="211132C0"/>
    <w:rsid w:val="22210112"/>
    <w:rsid w:val="2253364A"/>
    <w:rsid w:val="228F28EA"/>
    <w:rsid w:val="23B1063E"/>
    <w:rsid w:val="23B143CE"/>
    <w:rsid w:val="23D0134E"/>
    <w:rsid w:val="24080103"/>
    <w:rsid w:val="25B94C75"/>
    <w:rsid w:val="26795F50"/>
    <w:rsid w:val="267B638F"/>
    <w:rsid w:val="27420F6B"/>
    <w:rsid w:val="2750388E"/>
    <w:rsid w:val="27E913A1"/>
    <w:rsid w:val="29717898"/>
    <w:rsid w:val="2A513AEC"/>
    <w:rsid w:val="2A971964"/>
    <w:rsid w:val="2AB14C9D"/>
    <w:rsid w:val="2B0B0BF4"/>
    <w:rsid w:val="2C414C55"/>
    <w:rsid w:val="2C8671B3"/>
    <w:rsid w:val="2CD81465"/>
    <w:rsid w:val="2E906EC0"/>
    <w:rsid w:val="2F896396"/>
    <w:rsid w:val="302C5351"/>
    <w:rsid w:val="30C11BFC"/>
    <w:rsid w:val="30D25FB3"/>
    <w:rsid w:val="30D54CEC"/>
    <w:rsid w:val="314C4FED"/>
    <w:rsid w:val="3224406D"/>
    <w:rsid w:val="34713BFD"/>
    <w:rsid w:val="364A74FB"/>
    <w:rsid w:val="36A857BA"/>
    <w:rsid w:val="393C2A8B"/>
    <w:rsid w:val="3983461B"/>
    <w:rsid w:val="3B115A43"/>
    <w:rsid w:val="3CED249E"/>
    <w:rsid w:val="3DE20AE3"/>
    <w:rsid w:val="3DF33480"/>
    <w:rsid w:val="3F2F29A4"/>
    <w:rsid w:val="406960D0"/>
    <w:rsid w:val="40D21EC7"/>
    <w:rsid w:val="40E717CF"/>
    <w:rsid w:val="41A05B22"/>
    <w:rsid w:val="421474AC"/>
    <w:rsid w:val="432F53AF"/>
    <w:rsid w:val="43611467"/>
    <w:rsid w:val="444941FA"/>
    <w:rsid w:val="445E1225"/>
    <w:rsid w:val="45694B78"/>
    <w:rsid w:val="45946E27"/>
    <w:rsid w:val="45B93656"/>
    <w:rsid w:val="460C19D8"/>
    <w:rsid w:val="47337EDD"/>
    <w:rsid w:val="47CB122D"/>
    <w:rsid w:val="497B0B1F"/>
    <w:rsid w:val="4A3316C9"/>
    <w:rsid w:val="4AC268BD"/>
    <w:rsid w:val="4AFF19E1"/>
    <w:rsid w:val="4C19005F"/>
    <w:rsid w:val="4C2266E8"/>
    <w:rsid w:val="4D003B5E"/>
    <w:rsid w:val="4E56172D"/>
    <w:rsid w:val="4F0527E1"/>
    <w:rsid w:val="4FD37F31"/>
    <w:rsid w:val="50CE2822"/>
    <w:rsid w:val="50CE7240"/>
    <w:rsid w:val="51D610EC"/>
    <w:rsid w:val="53CD1E8A"/>
    <w:rsid w:val="58F934C4"/>
    <w:rsid w:val="5A0160AF"/>
    <w:rsid w:val="5A1A2B4D"/>
    <w:rsid w:val="5AD71CBD"/>
    <w:rsid w:val="5B254356"/>
    <w:rsid w:val="5B536B7B"/>
    <w:rsid w:val="5DA50D18"/>
    <w:rsid w:val="5DAC3E7D"/>
    <w:rsid w:val="5E1E3B31"/>
    <w:rsid w:val="61024E44"/>
    <w:rsid w:val="619C5EAE"/>
    <w:rsid w:val="635F2C96"/>
    <w:rsid w:val="642541FE"/>
    <w:rsid w:val="64374F2B"/>
    <w:rsid w:val="647E4819"/>
    <w:rsid w:val="64D836A1"/>
    <w:rsid w:val="664D433C"/>
    <w:rsid w:val="669578CE"/>
    <w:rsid w:val="67635EEB"/>
    <w:rsid w:val="684626D0"/>
    <w:rsid w:val="69930570"/>
    <w:rsid w:val="69D14B90"/>
    <w:rsid w:val="69E3023F"/>
    <w:rsid w:val="6A414A77"/>
    <w:rsid w:val="6B393680"/>
    <w:rsid w:val="6B5C52B4"/>
    <w:rsid w:val="6CCA6183"/>
    <w:rsid w:val="704663D9"/>
    <w:rsid w:val="704A4F50"/>
    <w:rsid w:val="70AB7A85"/>
    <w:rsid w:val="70CE5958"/>
    <w:rsid w:val="710A1CD0"/>
    <w:rsid w:val="724A4B38"/>
    <w:rsid w:val="73673DF0"/>
    <w:rsid w:val="75723672"/>
    <w:rsid w:val="76C068B1"/>
    <w:rsid w:val="770D4BBF"/>
    <w:rsid w:val="781A1483"/>
    <w:rsid w:val="78520C9B"/>
    <w:rsid w:val="78524E73"/>
    <w:rsid w:val="78A360A0"/>
    <w:rsid w:val="78E470D9"/>
    <w:rsid w:val="7AE334D1"/>
    <w:rsid w:val="7B4C5DF7"/>
    <w:rsid w:val="7B8A3C04"/>
    <w:rsid w:val="7C7320A7"/>
    <w:rsid w:val="7E4917CD"/>
    <w:rsid w:val="7E843AFA"/>
    <w:rsid w:val="7EDC687C"/>
    <w:rsid w:val="7F005671"/>
    <w:rsid w:val="7F7861EE"/>
    <w:rsid w:val="7FAB0C13"/>
    <w:rsid w:val="7FD6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spacing w:before="60" w:beforeAutospacing="1" w:afterAutospacing="1"/>
      <w:outlineLvl w:val="0"/>
    </w:pPr>
    <w:rPr>
      <w:rFonts w:hint="eastAsia" w:ascii="宋体" w:hAnsi="宋体" w:eastAsia="方正小标宋简体" w:cs="Times New Roman"/>
      <w:bCs/>
      <w:kern w:val="44"/>
      <w:sz w:val="44"/>
      <w:szCs w:val="48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600" w:lineRule="exact"/>
      <w:outlineLvl w:val="1"/>
    </w:pPr>
    <w:rPr>
      <w:rFonts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outlineLvl w:val="2"/>
    </w:pPr>
    <w:rPr>
      <w:rFonts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qFormat/>
    <w:uiPriority w:val="0"/>
  </w:style>
  <w:style w:type="paragraph" w:styleId="6">
    <w:name w:val="Body Text"/>
    <w:basedOn w:val="1"/>
    <w:semiHidden/>
    <w:qFormat/>
    <w:uiPriority w:val="0"/>
    <w:pPr>
      <w:spacing w:line="560" w:lineRule="exact"/>
      <w:ind w:firstLine="880" w:firstLineChars="200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1823</Words>
  <Characters>1898</Characters>
  <Lines>29</Lines>
  <Paragraphs>8</Paragraphs>
  <TotalTime>150</TotalTime>
  <ScaleCrop>false</ScaleCrop>
  <LinksUpToDate>false</LinksUpToDate>
  <CharactersWithSpaces>1898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2025-04-17T07:11:00Z</dcterms:created>
  <dc:creator>HenryWan</dc:creator>
  <cp:lastModifiedBy>陈国平</cp:lastModifiedBy>
  <cp:lastPrinted>2026-02-10T01:42:00Z</cp:lastPrinted>
  <dcterms:modified xsi:type="dcterms:W3CDTF">2026-03-10T08:06:51Z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ED0EE25FC0F94F22BC71A8045D198BDC_13</vt:lpwstr>
  </property>
  <property fmtid="{D5CDD505-2E9C-101B-9397-08002B2CF9AE}" pid="4" name="KSOTemplateDocerSaveRecord">
    <vt:lpwstr>eyJoZGlkIjoiZWE0MDZjMjBjMDIzNGYyNTI3NDRlYTIwZTE0N2M4YzMiLCJ1c2VySWQiOiIxNzgwNzAzNDAxIn0=</vt:lpwstr>
  </property>
</Properties>
</file>