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黑体" w:cs="Times New Roman"/>
          <w:kern w:val="0"/>
          <w:szCs w:val="32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t>附件5</w:t>
      </w:r>
    </w:p>
    <w:tbl>
      <w:tblPr>
        <w:tblStyle w:val="3"/>
        <w:tblW w:w="0" w:type="auto"/>
        <w:tblInd w:w="7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695"/>
        <w:gridCol w:w="595"/>
        <w:gridCol w:w="810"/>
        <w:gridCol w:w="1725"/>
        <w:gridCol w:w="3375"/>
        <w:gridCol w:w="2070"/>
        <w:gridCol w:w="990"/>
        <w:gridCol w:w="2325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355" w:type="dxa"/>
          <w:trHeight w:val="530" w:hRule="atLeast"/>
        </w:trPr>
        <w:tc>
          <w:tcPr>
            <w:tcW w:w="1112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  <w:t xml:space="preserve">                       表五：</w:t>
            </w: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  <w:t>乐山市市中区成片林木补偿标准表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8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名称  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生长期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说明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补偿标准（元）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锦橙、血橙、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脐橙、夏橙、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碰柑、香柚、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柑桔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产果期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初果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挂果3─9年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盛果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挂果10年以上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衰果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幼苗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定植3年内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幼树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定植3年以上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桃子、樱桃、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李子、梨子、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苹果、杏子、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柿子、青枣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产果期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初果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挂果3─11年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盛果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挂果12年以上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衰果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幼苗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离地面高度1米以下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幼树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离地面高度1米以上未产果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荔枝、桂圆、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枇杷、板栗、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坚果、花椒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产果期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初果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挂果3─9年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盛果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挂果10年以上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87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衰果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定植未挂果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定植3年以上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定植嫁接幼树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定植3年内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葡萄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盛果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胸径在5厘米以上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中产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胸径在2─5厘米(含2厘米)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胸径在1─2厘米(含1厘米)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幼树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胸径在1厘米以下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香(芭)蕉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苗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桑树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幼苗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离地面高度1米以下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产叶桑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初产叶（果）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中产叶（果）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盛产叶（果）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老化树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油茶、油桐、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乌柏、梅子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幼树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未产果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小树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初产果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中树 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中产期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大树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盛产期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老化树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笋竹 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竹林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25 根以上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10─25根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 根及以下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杂树（松、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杉、柏、椿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芽等）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幼树 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干胸径2厘米以下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小树 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干胸径2─5厘米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中树 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干胸径5─16厘米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大树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干胸径16厘米以上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其他杂树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幼树 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离地高度0.5─1米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小树 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离地面高度1米以上，主干胸径5厘米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中树 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离地面高度2米以上，主干胸径5─16厘米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大树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离地面高度3米以上，主干胸径16厘米以上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银杏、桂花、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其他园林乔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木树种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小树 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胸径5厘米以下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中树 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胸径5─10厘米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大树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胸径10厘米以上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亩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2DC24558"/>
    <w:rsid w:val="2DC2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Arial Unicode MS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796</Characters>
  <Lines>0</Lines>
  <Paragraphs>0</Paragraphs>
  <TotalTime>0</TotalTime>
  <ScaleCrop>false</ScaleCrop>
  <LinksUpToDate>false</LinksUpToDate>
  <CharactersWithSpaces>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2023-07-05T08:50:00Z</dcterms:created>
  <dc:creator>小小四 </dc:creator>
  <cp:lastModifiedBy>小小四 </cp:lastModifiedBy>
  <dcterms:modified xsi:type="dcterms:W3CDTF">2023-07-05T08:51:07Z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6B88985B7B0B4FBB85758762BE7BEE9E_11</vt:lpwstr>
  </property>
</Properties>
</file>