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第</w:t>
      </w:r>
      <w:r>
        <w:rPr>
          <w:rFonts w:hint="eastAsia" w:ascii="Times New Roman" w:hAnsi="Times New Roman" w:eastAsia="方正小标宋简体" w:cs="Times New Roman"/>
          <w:sz w:val="44"/>
          <w:szCs w:val="44"/>
          <w:lang w:eastAsia="zh-CN"/>
        </w:rPr>
        <w:t>二</w:t>
      </w:r>
      <w:r>
        <w:rPr>
          <w:rFonts w:ascii="Times New Roman" w:hAnsi="Times New Roman" w:eastAsia="方正小标宋简体" w:cs="Times New Roman"/>
          <w:sz w:val="44"/>
          <w:szCs w:val="44"/>
        </w:rPr>
        <w:t>轮</w:t>
      </w:r>
      <w:r>
        <w:rPr>
          <w:rFonts w:hint="eastAsia" w:ascii="Times New Roman" w:hAnsi="Times New Roman" w:eastAsia="方正小标宋简体" w:cs="Times New Roman"/>
          <w:sz w:val="44"/>
          <w:szCs w:val="44"/>
          <w:lang w:eastAsia="zh-CN"/>
        </w:rPr>
        <w:t>省级</w:t>
      </w:r>
      <w:r>
        <w:rPr>
          <w:rFonts w:ascii="Times New Roman" w:hAnsi="Times New Roman" w:eastAsia="方正小标宋简体" w:cs="Times New Roman"/>
          <w:sz w:val="44"/>
          <w:szCs w:val="44"/>
        </w:rPr>
        <w:t>生态环境保护督察第</w:t>
      </w:r>
      <w:r>
        <w:rPr>
          <w:rFonts w:hint="eastAsia" w:ascii="Times New Roman" w:hAnsi="Times New Roman" w:eastAsia="方正小标宋简体" w:cs="Times New Roman"/>
          <w:sz w:val="44"/>
          <w:szCs w:val="44"/>
          <w:lang w:eastAsia="zh-CN"/>
        </w:rPr>
        <w:t>一</w:t>
      </w:r>
      <w:r>
        <w:rPr>
          <w:rFonts w:ascii="Times New Roman" w:hAnsi="Times New Roman" w:eastAsia="方正小标宋简体" w:cs="Times New Roman"/>
          <w:sz w:val="44"/>
          <w:szCs w:val="44"/>
        </w:rPr>
        <w:t>项</w:t>
      </w:r>
    </w:p>
    <w:p>
      <w:pPr>
        <w:overflowPunct w:val="0"/>
        <w:topLinePunct/>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整改任务完成情况表</w:t>
      </w:r>
    </w:p>
    <w:p>
      <w:pPr>
        <w:overflowPunct w:val="0"/>
        <w:topLinePunct/>
        <w:spacing w:line="600" w:lineRule="exact"/>
        <w:jc w:val="center"/>
        <w:rPr>
          <w:rFonts w:ascii="Times New Roman" w:hAnsi="Times New Roman" w:eastAsia="仿宋_GB2312" w:cs="Times New Roman"/>
          <w:sz w:val="32"/>
          <w:szCs w:val="32"/>
        </w:rPr>
      </w:pPr>
    </w:p>
    <w:tbl>
      <w:tblPr>
        <w:tblStyle w:val="2"/>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716"/>
        <w:gridCol w:w="6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864" w:hRule="atLeast"/>
          <w:jc w:val="center"/>
        </w:trPr>
        <w:tc>
          <w:tcPr>
            <w:tcW w:w="2716"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pacing w:line="500" w:lineRule="exact"/>
              <w:jc w:val="center"/>
              <w:rPr>
                <w:rFonts w:ascii="黑体" w:hAnsi="黑体" w:eastAsia="黑体" w:cs="Times New Roman"/>
                <w:kern w:val="0"/>
                <w:sz w:val="32"/>
                <w:szCs w:val="32"/>
              </w:rPr>
            </w:pPr>
            <w:r>
              <w:rPr>
                <w:rFonts w:ascii="黑体" w:hAnsi="黑体" w:eastAsia="黑体" w:cs="Times New Roman"/>
                <w:kern w:val="0"/>
                <w:sz w:val="32"/>
                <w:szCs w:val="32"/>
              </w:rPr>
              <w:t>整改任务</w:t>
            </w:r>
          </w:p>
        </w:tc>
        <w:tc>
          <w:tcPr>
            <w:tcW w:w="6118" w:type="dxa"/>
            <w:tcBorders>
              <w:top w:val="single" w:color="auto" w:sz="4" w:space="0"/>
              <w:left w:val="nil"/>
              <w:bottom w:val="single" w:color="auto" w:sz="4" w:space="0"/>
              <w:right w:val="single" w:color="auto" w:sz="4" w:space="0"/>
            </w:tcBorders>
            <w:noWrap w:val="0"/>
            <w:vAlign w:val="top"/>
          </w:tcPr>
          <w:p>
            <w:pPr>
              <w:overflowPunct w:val="0"/>
              <w:topLinePunct/>
              <w:spacing w:line="50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轮</w:t>
            </w:r>
            <w:r>
              <w:rPr>
                <w:rFonts w:hint="eastAsia" w:ascii="仿宋_GB2312" w:hAnsi="仿宋_GB2312" w:eastAsia="仿宋_GB2312" w:cs="仿宋_GB2312"/>
                <w:sz w:val="28"/>
                <w:szCs w:val="28"/>
                <w:lang w:eastAsia="zh-CN"/>
              </w:rPr>
              <w:t>省级</w:t>
            </w:r>
            <w:r>
              <w:rPr>
                <w:rFonts w:hint="eastAsia" w:ascii="仿宋_GB2312" w:hAnsi="仿宋_GB2312" w:eastAsia="仿宋_GB2312" w:cs="仿宋_GB2312"/>
                <w:sz w:val="28"/>
                <w:szCs w:val="28"/>
              </w:rPr>
              <w:t>生态环境保护督察第</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项整改任务：一些部门和地方政治站位不高，对生态环境保护工作的重要性认识不够，把生态环境保护作为一般工作来对待，对解决一些长期存在的问题缺乏紧迫性，畏难情绪突出，攻坚克难的主动性不够。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452" w:hRule="atLeast"/>
          <w:jc w:val="center"/>
        </w:trPr>
        <w:tc>
          <w:tcPr>
            <w:tcW w:w="2716"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pacing w:line="500" w:lineRule="exact"/>
              <w:jc w:val="center"/>
              <w:rPr>
                <w:rFonts w:ascii="黑体" w:hAnsi="黑体" w:eastAsia="黑体" w:cs="Times New Roman"/>
                <w:kern w:val="0"/>
                <w:sz w:val="32"/>
                <w:szCs w:val="32"/>
              </w:rPr>
            </w:pPr>
            <w:r>
              <w:rPr>
                <w:rFonts w:ascii="黑体" w:hAnsi="黑体" w:eastAsia="黑体" w:cs="Times New Roman"/>
                <w:kern w:val="0"/>
                <w:sz w:val="32"/>
                <w:szCs w:val="32"/>
              </w:rPr>
              <w:t>整改责任单位</w:t>
            </w:r>
          </w:p>
        </w:tc>
        <w:tc>
          <w:tcPr>
            <w:tcW w:w="6118" w:type="dxa"/>
            <w:tcBorders>
              <w:top w:val="single" w:color="auto" w:sz="4" w:space="0"/>
              <w:left w:val="nil"/>
              <w:bottom w:val="single" w:color="auto" w:sz="4" w:space="0"/>
              <w:right w:val="single" w:color="auto" w:sz="4" w:space="0"/>
            </w:tcBorders>
            <w:noWrap w:val="0"/>
            <w:vAlign w:val="top"/>
          </w:tcPr>
          <w:p>
            <w:pPr>
              <w:overflowPunct w:val="0"/>
              <w:topLinePunct/>
              <w:spacing w:line="50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市级有关部门,乐山高新区、峨眉山景区、乐山大佛景区党工委和管委会，各县（市、区）党委、政府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028" w:hRule="atLeast"/>
          <w:jc w:val="center"/>
        </w:trPr>
        <w:tc>
          <w:tcPr>
            <w:tcW w:w="2716"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pacing w:line="500" w:lineRule="exact"/>
              <w:jc w:val="center"/>
              <w:rPr>
                <w:rFonts w:ascii="黑体" w:hAnsi="黑体" w:eastAsia="黑体" w:cs="Times New Roman"/>
                <w:kern w:val="0"/>
                <w:sz w:val="32"/>
                <w:szCs w:val="32"/>
              </w:rPr>
            </w:pPr>
            <w:r>
              <w:rPr>
                <w:rFonts w:ascii="黑体" w:hAnsi="黑体" w:eastAsia="黑体" w:cs="Times New Roman"/>
                <w:kern w:val="0"/>
                <w:sz w:val="32"/>
                <w:szCs w:val="32"/>
              </w:rPr>
              <w:t>整改目标</w:t>
            </w:r>
          </w:p>
        </w:tc>
        <w:tc>
          <w:tcPr>
            <w:tcW w:w="6118" w:type="dxa"/>
            <w:tcBorders>
              <w:top w:val="single" w:color="auto" w:sz="4" w:space="0"/>
              <w:left w:val="nil"/>
              <w:bottom w:val="single" w:color="auto" w:sz="4" w:space="0"/>
              <w:right w:val="single" w:color="auto" w:sz="4" w:space="0"/>
            </w:tcBorders>
            <w:noWrap w:val="0"/>
            <w:vAlign w:val="top"/>
          </w:tcPr>
          <w:p>
            <w:pPr>
              <w:overflowPunct w:val="0"/>
              <w:topLinePunct/>
              <w:spacing w:line="50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坚持以习近平生态文明思想为指导，进一步提高政治站位，牢固树立新发展理念，不断增强生态环境保护意识，持续压紧压实生态环境保护责任，认真履职尽责，推动解决突出生态环境问题。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36" w:hRule="atLeast"/>
          <w:jc w:val="center"/>
        </w:trPr>
        <w:tc>
          <w:tcPr>
            <w:tcW w:w="2716"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pacing w:line="500" w:lineRule="exact"/>
              <w:jc w:val="center"/>
              <w:rPr>
                <w:rFonts w:ascii="黑体" w:hAnsi="黑体" w:eastAsia="黑体" w:cs="Times New Roman"/>
                <w:kern w:val="0"/>
                <w:sz w:val="32"/>
                <w:szCs w:val="32"/>
              </w:rPr>
            </w:pPr>
            <w:r>
              <w:rPr>
                <w:rFonts w:ascii="黑体" w:hAnsi="黑体" w:eastAsia="黑体" w:cs="Times New Roman"/>
                <w:kern w:val="0"/>
                <w:sz w:val="32"/>
                <w:szCs w:val="32"/>
              </w:rPr>
              <w:t>整改措施</w:t>
            </w:r>
          </w:p>
        </w:tc>
        <w:tc>
          <w:tcPr>
            <w:tcW w:w="611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val="0"/>
              <w:topLinePunct/>
              <w:autoSpaceDE/>
              <w:autoSpaceDN/>
              <w:bidi w:val="0"/>
              <w:adjustRightInd/>
              <w:snapToGrid/>
              <w:spacing w:line="4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各地、各部门深入学习贯彻习近平生态文明思想和习近平总书记对生态环境保护工作作出的重要指示批示精神，坚决落实党中央关于推进生态文明建设和长江经济带“共抓大保护、不搞大开发”的决策部署，把做好四川省生态环境保护督察反馈意见整改作为重大政治任务、重大民生工程，作为满足人民群众对优美生态环境需要的实际行动，坚决扛起生态文明建设和生态环境保护的政治责任。将有关内容作为党委（党组）中心组学习和干部培训的重要内容，作为宣传教育的重要方面。</w:t>
            </w:r>
          </w:p>
          <w:p>
            <w:pPr>
              <w:keepNext w:val="0"/>
              <w:keepLines w:val="0"/>
              <w:pageBreakBefore w:val="0"/>
              <w:widowControl w:val="0"/>
              <w:kinsoku/>
              <w:wordWrap/>
              <w:overflowPunct w:val="0"/>
              <w:topLinePunct/>
              <w:autoSpaceDE/>
              <w:autoSpaceDN/>
              <w:bidi w:val="0"/>
              <w:adjustRightInd/>
              <w:snapToGrid/>
              <w:spacing w:line="4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严格落实生态环境保护“党政同责、一岗双责”，市县两级党委、政府根据工作需要及时研究生态文明建设和生态环境保护工作，研究部署、协调解决生态环境保护重大问题；各行业主管部门按照“管发展必须管环保、管行业必须管环保、管生产必须管环保”要求，严格落实生态环境保护责任清单，履行监管职责，推动生态环境保护工作落地落实。</w:t>
            </w:r>
          </w:p>
          <w:p>
            <w:pPr>
              <w:keepNext w:val="0"/>
              <w:keepLines w:val="0"/>
              <w:pageBreakBefore w:val="0"/>
              <w:widowControl w:val="0"/>
              <w:kinsoku/>
              <w:wordWrap/>
              <w:overflowPunct w:val="0"/>
              <w:topLinePunct/>
              <w:autoSpaceDE/>
              <w:autoSpaceDN/>
              <w:bidi w:val="0"/>
              <w:adjustRightInd/>
              <w:snapToGrid/>
              <w:spacing w:line="4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开展生态环境保护工作督查督导和暗查暗访，充分发挥市环委会、市生态环保督察工作领导小组等议事协调机构牵头抓总和督促落实作用，加强统筹协调，督促指导各地、各有关部门认真履行生态环保职责，积极推进全市生态环境保护工作落实见效。持续推动落实市领导常态化暗查暗访，适时拍摄制作生态环境问题专题片，曝光生态环境违法行为典型案例。坚持“问题清单＋责任清单＋措施清单”，加力推进各类突出生态环境问题整改，对整改工作履职不到位、责任不落实、问题整改不力，瞒报虚报、弄虚作假，不作为、乱作为甚至敷衍整改、表面整改、假装整改的单位和个人，严肃追责问责。</w:t>
            </w:r>
          </w:p>
          <w:p>
            <w:pPr>
              <w:keepNext w:val="0"/>
              <w:keepLines w:val="0"/>
              <w:pageBreakBefore w:val="0"/>
              <w:widowControl w:val="0"/>
              <w:kinsoku/>
              <w:wordWrap/>
              <w:overflowPunct w:val="0"/>
              <w:topLinePunct/>
              <w:autoSpaceDE/>
              <w:autoSpaceDN/>
              <w:bidi w:val="0"/>
              <w:adjustRightInd/>
              <w:snapToGrid/>
              <w:spacing w:line="4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牢固树立以人民为中心的发展思想，高效办理“心连心”服务热线、微信公众号和书记、市长信箱等渠道受理的生态环境问题信访，持续办好“环保曝光台”栏目，着力解决群众反映强烈的突出生态环境问题。</w:t>
            </w:r>
          </w:p>
          <w:p>
            <w:pPr>
              <w:overflowPunct w:val="0"/>
              <w:topLinePunct/>
              <w:spacing w:line="50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5.</w:t>
            </w:r>
            <w:bookmarkStart w:id="0" w:name="_GoBack"/>
            <w:bookmarkEnd w:id="0"/>
            <w:r>
              <w:rPr>
                <w:rFonts w:hint="eastAsia" w:ascii="仿宋_GB2312" w:hAnsi="仿宋_GB2312" w:eastAsia="仿宋_GB2312" w:cs="仿宋_GB2312"/>
                <w:sz w:val="28"/>
                <w:szCs w:val="28"/>
              </w:rPr>
              <w:t>持续开展县（市、区）和市级有关部门生态环境保护党政同责工作目标绩效考评，将生态文明建设和生态环境保护工作履职情况作为党政领导干部考核评价、奖惩任免的重要依据。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005" w:hRule="atLeast"/>
          <w:jc w:val="center"/>
        </w:trPr>
        <w:tc>
          <w:tcPr>
            <w:tcW w:w="2716"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pacing w:line="500" w:lineRule="exact"/>
              <w:jc w:val="center"/>
              <w:rPr>
                <w:rFonts w:ascii="黑体" w:hAnsi="黑体" w:eastAsia="黑体" w:cs="Times New Roman"/>
                <w:kern w:val="0"/>
                <w:sz w:val="32"/>
                <w:szCs w:val="32"/>
              </w:rPr>
            </w:pPr>
            <w:r>
              <w:rPr>
                <w:rFonts w:ascii="黑体" w:hAnsi="黑体" w:eastAsia="黑体" w:cs="Times New Roman"/>
                <w:kern w:val="0"/>
                <w:sz w:val="32"/>
                <w:szCs w:val="32"/>
              </w:rPr>
              <w:t>整改主要工作</w:t>
            </w:r>
          </w:p>
          <w:p>
            <w:pPr>
              <w:overflowPunct w:val="0"/>
              <w:topLinePunct/>
              <w:spacing w:line="500" w:lineRule="exact"/>
              <w:jc w:val="center"/>
              <w:rPr>
                <w:rFonts w:ascii="黑体" w:hAnsi="黑体" w:eastAsia="黑体" w:cs="Times New Roman"/>
                <w:kern w:val="0"/>
                <w:sz w:val="32"/>
                <w:szCs w:val="32"/>
              </w:rPr>
            </w:pPr>
            <w:r>
              <w:rPr>
                <w:rFonts w:ascii="黑体" w:hAnsi="黑体" w:eastAsia="黑体" w:cs="Times New Roman"/>
                <w:kern w:val="0"/>
                <w:sz w:val="32"/>
                <w:szCs w:val="32"/>
              </w:rPr>
              <w:t>及成效</w:t>
            </w:r>
          </w:p>
        </w:tc>
        <w:tc>
          <w:tcPr>
            <w:tcW w:w="611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tabs>
                <w:tab w:val="left" w:pos="312"/>
              </w:tabs>
              <w:kinsoku/>
              <w:wordWrap/>
              <w:overflowPunct w:val="0"/>
              <w:topLinePunct/>
              <w:autoSpaceDE/>
              <w:autoSpaceDN/>
              <w:bidi w:val="0"/>
              <w:adjustRightInd/>
              <w:snapToGrid/>
              <w:spacing w:line="42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各地各部门已将习近平生态文明思想及习近平总书记对生态环境保护工作作出的重要指示批示精神和上级生态文明建设的决策部署作为了党委（党组）中心组学习和干部培训等各类学习培训形式的重要内容，做到学懂弄通做实。完整、准确、全面贯彻新发展理念。同时，市委、市政府制定出台《乐山市深入学习贯彻习近平生态文明思想十二条措施》。印发《2023年全市党委（党组）理论学习中心组专题学习安排意见》《关于实施2023年市级干部教育培训重点项目的通知》。</w:t>
            </w:r>
          </w:p>
          <w:p>
            <w:pPr>
              <w:keepNext w:val="0"/>
              <w:keepLines w:val="0"/>
              <w:pageBreakBefore w:val="0"/>
              <w:widowControl w:val="0"/>
              <w:numPr>
                <w:ilvl w:val="0"/>
                <w:numId w:val="0"/>
              </w:numPr>
              <w:tabs>
                <w:tab w:val="left" w:pos="312"/>
              </w:tabs>
              <w:kinsoku/>
              <w:wordWrap/>
              <w:overflowPunct w:val="0"/>
              <w:topLinePunct/>
              <w:autoSpaceDE/>
              <w:autoSpaceDN/>
              <w:bidi w:val="0"/>
              <w:adjustRightInd/>
              <w:snapToGrid/>
              <w:spacing w:line="42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各地各部门认真贯彻生态环境保护“党政同责、一岗双责”，印发实施《乐山市生态环境保护责任清单》，市县两级党委会、政府常务会和市级各行业主管部门，履行了主体责任，严格落实生态环境保护责任清单，研究部署、协调解决和推动了生态环境保护工作落地落实。2021年以来，市委常委会会议、市政府常务会议多次研究部署生态文明建设和生态环境保护工作。</w:t>
            </w:r>
          </w:p>
          <w:p>
            <w:pPr>
              <w:keepNext w:val="0"/>
              <w:keepLines w:val="0"/>
              <w:pageBreakBefore w:val="0"/>
              <w:widowControl w:val="0"/>
              <w:numPr>
                <w:ilvl w:val="0"/>
                <w:numId w:val="0"/>
              </w:numPr>
              <w:tabs>
                <w:tab w:val="left" w:pos="312"/>
              </w:tabs>
              <w:kinsoku/>
              <w:wordWrap/>
              <w:overflowPunct w:val="0"/>
              <w:topLinePunct/>
              <w:autoSpaceDE/>
              <w:autoSpaceDN/>
              <w:bidi w:val="0"/>
              <w:adjustRightInd/>
              <w:snapToGrid/>
              <w:spacing w:line="42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按照“不留空白、不留死角”原则，“清单制+责任制+销号制”推进问题整改，积极开展全市“新一轮突出生态环境问题大排查大整治”，常态化进行“四不两直”暗查暗访，持续办好“环保曝光台”，运用“绿色”提示书、“黄色”督办书、“橙色”警示书、“红色”移交书“四色四书”机制强化督办问效。聚焦中央生态环境保护督察反馈移交问题及国家、省移交长江生态环境问题，按照“清单制+责任制”，定期调度和现场督促相结合，集中解决一批群众关心的热点难点问题。持续落实市领导常态化暗查暗访，制作《三江岸线生态环境问题暗访警示片》，印发《政府督查与重点部门（单位）监督贯通协调联席会议制度》，强化生态环境领域问题整改销号，形成政府督查和部门监督合力。</w:t>
            </w:r>
          </w:p>
          <w:p>
            <w:pPr>
              <w:keepNext w:val="0"/>
              <w:keepLines w:val="0"/>
              <w:pageBreakBefore w:val="0"/>
              <w:widowControl w:val="0"/>
              <w:numPr>
                <w:ilvl w:val="0"/>
                <w:numId w:val="0"/>
              </w:numPr>
              <w:tabs>
                <w:tab w:val="left" w:pos="312"/>
              </w:tabs>
              <w:kinsoku/>
              <w:wordWrap/>
              <w:overflowPunct w:val="0"/>
              <w:topLinePunct/>
              <w:autoSpaceDE/>
              <w:autoSpaceDN/>
              <w:bidi w:val="0"/>
              <w:adjustRightInd/>
              <w:snapToGrid/>
              <w:spacing w:line="42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常态化开展环保法治教育和业务培训，推进生态环境保护全民行动，定期召开新闻发布会，探索生态环境宣教和舆论监督新路径。充分发挥新媒体矩阵作用，全年无休发布原创推文；策划推出生态环境卡通形象代言人“乐小淼”“乐小垚”，组建“嘉州环保”志愿服务队，创新开展习近平生态文明思想进农村、进学校、进社区、进企业、进机关及环保设施向公众开放等活动；自主拍摄以习近平生态文明思想宣传、秸秆禁烧等为主题的“环保坝坝电影”，进场镇入村社播放；开展“共建清洁美丽世界——我们爱地球，爱乐山”艺术类作品征集活动、“美丽中国，我是行动者”2022年乐山市第一届“嘉州环保先锋”评选活动；“环保曝光台”相关经验做法入选《习近平生态文明思想四川实践》。</w:t>
            </w:r>
          </w:p>
          <w:p>
            <w:pPr>
              <w:overflowPunct w:val="0"/>
              <w:topLinePunct/>
              <w:spacing w:line="50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5.统筹开展污染防治攻坚战成效考核、生态环境保护党政同责工作考评，将生态文明建设和生态环境保护工作履职情况作为党政领导干部考核评价、奖惩任免的重要依据。</w:t>
            </w:r>
          </w:p>
        </w:tc>
      </w:tr>
    </w:tbl>
    <w:p>
      <w:pPr>
        <w:widowControl/>
        <w:spacing w:line="600" w:lineRule="exact"/>
        <w:jc w:val="left"/>
        <w:rPr>
          <w:rFonts w:ascii="Times New Roman" w:hAnsi="Times New Roman" w:eastAsia="宋体" w:cs="黑体"/>
          <w:sz w:val="28"/>
          <w:szCs w:val="28"/>
        </w:rPr>
      </w:pPr>
      <w:r>
        <w:rPr>
          <w:rFonts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4549140</wp:posOffset>
                </wp:positionH>
                <wp:positionV relativeFrom="paragraph">
                  <wp:posOffset>8097520</wp:posOffset>
                </wp:positionV>
                <wp:extent cx="1228725" cy="471805"/>
                <wp:effectExtent l="0" t="0" r="9525" b="4445"/>
                <wp:wrapNone/>
                <wp:docPr id="4" name="文本框 4"/>
                <wp:cNvGraphicFramePr/>
                <a:graphic xmlns:a="http://schemas.openxmlformats.org/drawingml/2006/main">
                  <a:graphicData uri="http://schemas.microsoft.com/office/word/2010/wordprocessingShape">
                    <wps:wsp>
                      <wps:cNvSpPr txBox="1"/>
                      <wps:spPr>
                        <a:xfrm>
                          <a:off x="0" y="0"/>
                          <a:ext cx="1228725" cy="471488"/>
                        </a:xfrm>
                        <a:prstGeom prst="rect">
                          <a:avLst/>
                        </a:prstGeom>
                        <a:solidFill>
                          <a:srgbClr val="FFFFFF"/>
                        </a:solidFill>
                        <a:ln w="6350">
                          <a:noFill/>
                        </a:ln>
                        <a:effectLst/>
                      </wps:spPr>
                      <wps:txbx>
                        <w:txbxContent>
                          <w:p>
                            <w:pPr>
                              <w:spacing w:line="460" w:lineRule="exact"/>
                              <w:rPr>
                                <w:rFonts w:ascii="仿宋_GB2312" w:hAnsi="仿宋_GB2312" w:eastAsia="仿宋_GB2312"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8.2pt;margin-top:637.6pt;height:37.15pt;width:96.75pt;z-index:251660288;mso-width-relative:page;mso-height-relative:page;" fillcolor="#FFFFFF" filled="t" stroked="f" coordsize="21600,21600" o:gfxdata="UEsDBAoAAAAAAIdO4kAAAAAAAAAAAAAAAAAEAAAAZHJzL1BLAwQUAAAACACHTuJAnyDXLdgAAAAN&#10;AQAADwAAAGRycy9kb3ducmV2LnhtbE2Py07DMBBF90j8gzVI7KidkLYkxOkCiS0Sfa3d2MQR9jiy&#10;3efXM6xgOXOP7pxpVxfv2MnENAaUUMwEMIN90CMOErab96cXYCkr1MoFNBKuJsGqu79rVaPDGT/N&#10;aZ0HRiWYGiXB5jw1nKfeGq/SLEwGKfsK0atMYxy4jupM5d7xUogF92pEumDVZN6s6b/XRy9hP/jb&#10;fldM0WrvKvy4XTfbMEr5+FCIV2DZXPIfDL/6pA4dOR3CEXViTsKyWFSEUlAu5yUwQmpR18AOtHqu&#10;6jnwruX/v+h+AFBLAwQUAAAACACHTuJA3dadkFUCAACdBAAADgAAAGRycy9lMm9Eb2MueG1srVTB&#10;bhMxEL0j8Q+W72STsG1C1E0VUgUhRbRSQZwdrzdryfYY28lu+AD4g564cOe7+h2MvZs2FA49kIMz&#10;4xm/mXkzsxeXrVZkL5yXYAo6GgwpEYZDKc22oJ8+rl5NKfGBmZIpMKKgB+Hp5fzli4vGzsQYalCl&#10;cARBjJ81tqB1CHaWZZ7XQjM/ACsMGitwmgVU3TYrHWsQXatsPByeZw240jrgwnu8veqMtEd0zwGE&#10;qpJcXAHfaWFCh+qEYgFL8rW0ns5TtlUleLiuKi8CUQXFSkM6MQjKm3hm8ws22zpma8n7FNhzUnhS&#10;k2bSYNAHqCsWGNk5+ReUltyBhyoMOOisKyQxglWMhk+4ua2ZFakWpNrbB9L9/4PlH/Y3jsiyoDkl&#10;hmls+P3d9/sfv+5/fiN5pKexfoZetxb9QvsWWhya473Hy1h1Wzkd/7EegnYk9/BArmgD4fHReDyd&#10;jM8o4WjLJ6N8Oo0w2eNr63x4J0CTKBTUYfMSp2y/9qFzPbrEYB6ULFdSqaS47WapHNkzbPQq/Xr0&#10;P9yUIU1Bz1+fDROygfi+g1Ym4og0M328WHpXYpRCu2l7PjZQHpAOB908ectXEnNeMx9umMMBQgZw&#10;xcI1HpUCDAm9REkN7uu/7qM/9hWtlDQ4kAX1X3bMCUrUe4MdfzPK8zjBScnPJmNU3Kllc2oxO70E&#10;pGKEy2x5EqN/UEexcqA/4yYuYlQ0McMxdkHDUVyGbk1wk7lYLJITzqxlYW1uLY/QkTADi12ASqYG&#10;RZo6brCxUcGpTS3uNyyuxamevB6/Kv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yDXLdgAAAAN&#10;AQAADwAAAAAAAAABACAAAAAiAAAAZHJzL2Rvd25yZXYueG1sUEsBAhQAFAAAAAgAh07iQN3WnZBV&#10;AgAAnQQAAA4AAAAAAAAAAQAgAAAAJwEAAGRycy9lMm9Eb2MueG1sUEsFBgAAAAAGAAYAWQEAAO4F&#10;AAAAAA==&#10;">
                <v:fill on="t" focussize="0,0"/>
                <v:stroke on="f" weight="0.5pt"/>
                <v:imagedata o:title=""/>
                <o:lock v:ext="edit" aspectratio="f"/>
                <v:textbox>
                  <w:txbxContent>
                    <w:p>
                      <w:pPr>
                        <w:spacing w:line="460" w:lineRule="exact"/>
                        <w:rPr>
                          <w:rFonts w:ascii="仿宋_GB2312" w:hAnsi="仿宋_GB2312" w:eastAsia="仿宋_GB2312" w:cs="Times New Roman"/>
                          <w:sz w:val="28"/>
                          <w:szCs w:val="28"/>
                        </w:rPr>
                      </w:pPr>
                    </w:p>
                  </w:txbxContent>
                </v:textbox>
              </v:shape>
            </w:pict>
          </mc:Fallback>
        </mc:AlternateContent>
      </w:r>
    </w:p>
    <w:p>
      <w:pPr>
        <w:widowControl/>
        <w:spacing w:line="460" w:lineRule="exact"/>
        <w:jc w:val="left"/>
        <w:rPr>
          <w:rFonts w:ascii="Times New Roman" w:hAnsi="Times New Roman" w:eastAsia="仿宋_GB2312" w:cs="Times New Roman"/>
          <w:sz w:val="32"/>
          <w:szCs w:val="30"/>
        </w:rPr>
      </w:pPr>
      <w:r>
        <w:rPr>
          <w:rFonts w:hint="eastAsia"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4724400</wp:posOffset>
                </wp:positionH>
                <wp:positionV relativeFrom="paragraph">
                  <wp:posOffset>8359140</wp:posOffset>
                </wp:positionV>
                <wp:extent cx="871855" cy="457200"/>
                <wp:effectExtent l="0" t="0" r="4445" b="0"/>
                <wp:wrapNone/>
                <wp:docPr id="2" name="文本框 2"/>
                <wp:cNvGraphicFramePr/>
                <a:graphic xmlns:a="http://schemas.openxmlformats.org/drawingml/2006/main">
                  <a:graphicData uri="http://schemas.microsoft.com/office/word/2010/wordprocessingShape">
                    <wps:wsp>
                      <wps:cNvSpPr txBox="1"/>
                      <wps:spPr>
                        <a:xfrm>
                          <a:off x="0" y="0"/>
                          <a:ext cx="871538" cy="457200"/>
                        </a:xfrm>
                        <a:prstGeom prst="rect">
                          <a:avLst/>
                        </a:prstGeom>
                        <a:solidFill>
                          <a:srgbClr val="FFFFFF"/>
                        </a:solidFill>
                        <a:ln w="6350">
                          <a:noFill/>
                        </a:ln>
                        <a:effectLst/>
                      </wps:spPr>
                      <wps:txbx>
                        <w:txbxContent>
                          <w:p>
                            <w:pPr>
                              <w:spacing w:line="460" w:lineRule="exact"/>
                              <w:rPr>
                                <w:rFonts w:ascii="仿宋_GB2312" w:hAnsi="仿宋_GB2312" w:eastAsia="仿宋_GB2312"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pt;margin-top:658.2pt;height:36pt;width:68.65pt;z-index:251662336;mso-width-relative:page;mso-height-relative:page;" fillcolor="#FFFFFF" filled="t" stroked="f" coordsize="21600,21600" o:gfxdata="UEsDBAoAAAAAAIdO4kAAAAAAAAAAAAAAAAAEAAAAZHJzL1BLAwQUAAAACACHTuJA4M5cQdcAAAAN&#10;AQAADwAAAGRycy9kb3ducmV2LnhtbE2PzU7DMBCE70i8g7VI3KhjahUrjdMDElck2tKzGy9x1Hgd&#10;2e7v0+Oe4Lgzo9lvmtXFj+yEMQ2BNIhZBQypC3agXsN28/GigKVsyJoxEGq4YoJV+/jQmNqGM33h&#10;aZ17Vkoo1UaDy3mqOU+dQ2/SLExIxfsJ0ZtczthzG825lPuRv1bVgnszUPngzITvDrvD+ug17Hp/&#10;232LKTrrR0mft+tmGwatn59EtQSW8ZL/wnDHL+jQFqZ9OJJNbNTwJmXZkosxFwsJrESUEnNg+7uk&#10;lATeNvz/ivYXUEsDBBQAAAAIAIdO4kCfT8umUgIAAJwEAAAOAAAAZHJzL2Uyb0RvYy54bWytVM1u&#10;EzEQviPxDpbvdJM0/SHKpgqtgpAqWqkgzo7Xm7Vke8zYyW55AHgDTly481x9DsbeTVsKhx7IwZk/&#10;f+P5ZmbnZ501bKcwaHAlHx+MOFNOQqXdpuQfP6xenXIWonCVMOBUyW9V4GeLly/mrZ+pCTRgKoWM&#10;QFyYtb7kTYx+VhRBNsqKcABeOXLWgFZEUnFTVChaQremmIxGx0ULWHkEqUIg60Xv5AMiPgcQ6lpL&#10;dQFya5WLPSoqIyKVFBrtA1/k19a1kvGqroOKzJScKo35pCQkr9NZLOZitkHhGy2HJ4jnPOFJTVZo&#10;R0nvoS5EFGyL+i8oqyVCgDoeSLBFX0hmhKoYj55wc9MIr3ItRHXw96SH/wcr3++ukemq5BPOnLDU&#10;8Lvv3+5+/Lr7+ZVNEj2tDzOKuvEUF7s30NHQ7O2BjKnqrkab/qkeRn4i9/aeXNVFJsl4ejI+OqTZ&#10;kuSaHp3QKCSU4uGyxxDfKrAsCSVH6l2mVOwuQ+xD9yEpVwCjq5U2Jiu4WZ8bZDtBfV7l34D+R5hx&#10;rC358eHRKCM7SPd7aOMSjsojM+RLlfcVJil2626gYw3VLbGB0I9T8HKl6c2XIsRrgTQ/RABtWLyi&#10;ozZAKWGQOGsAv/zLnuKpreTlrKV5LHn4vBWoODPvHDX89Xg6TQOclcwfZ/jYs37scVt7DkTFmHbZ&#10;yyzSZYxmL9YI9hMt4jJlJZdwknKXPO7F89hvCS2yVMtlDqKR9SJeuhsvE3QizMFyG6HWuUGJpp4b&#10;amxSaGhzi4cFS1vxWM9RDx+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zlxB1wAAAA0BAAAP&#10;AAAAAAAAAAEAIAAAACIAAABkcnMvZG93bnJldi54bWxQSwECFAAUAAAACACHTuJAn0/LplICAACc&#10;BAAADgAAAAAAAAABACAAAAAmAQAAZHJzL2Uyb0RvYy54bWxQSwUGAAAAAAYABgBZAQAA6gUAAAAA&#10;">
                <v:fill on="t" focussize="0,0"/>
                <v:stroke on="f" weight="0.5pt"/>
                <v:imagedata o:title=""/>
                <o:lock v:ext="edit" aspectratio="f"/>
                <v:textbox>
                  <w:txbxContent>
                    <w:p>
                      <w:pPr>
                        <w:spacing w:line="460" w:lineRule="exact"/>
                        <w:rPr>
                          <w:rFonts w:ascii="仿宋_GB2312" w:hAnsi="仿宋_GB2312" w:eastAsia="仿宋_GB2312" w:cs="Times New Roman"/>
                          <w:sz w:val="28"/>
                          <w:szCs w:val="28"/>
                        </w:rPr>
                      </w:pPr>
                    </w:p>
                  </w:txbxContent>
                </v:textbox>
              </v:shape>
            </w:pict>
          </mc:Fallback>
        </mc:AlternateContent>
      </w:r>
      <w:r>
        <w:rPr>
          <w:rFonts w:hint="eastAsia"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4724400</wp:posOffset>
                </wp:positionH>
                <wp:positionV relativeFrom="paragraph">
                  <wp:posOffset>8359140</wp:posOffset>
                </wp:positionV>
                <wp:extent cx="871855" cy="457200"/>
                <wp:effectExtent l="0" t="0" r="4445" b="0"/>
                <wp:wrapNone/>
                <wp:docPr id="1" name="文本框 1"/>
                <wp:cNvGraphicFramePr/>
                <a:graphic xmlns:a="http://schemas.openxmlformats.org/drawingml/2006/main">
                  <a:graphicData uri="http://schemas.microsoft.com/office/word/2010/wordprocessingShape">
                    <wps:wsp>
                      <wps:cNvSpPr txBox="1"/>
                      <wps:spPr>
                        <a:xfrm>
                          <a:off x="0" y="0"/>
                          <a:ext cx="871538" cy="457200"/>
                        </a:xfrm>
                        <a:prstGeom prst="rect">
                          <a:avLst/>
                        </a:prstGeom>
                        <a:solidFill>
                          <a:srgbClr val="FFFFFF"/>
                        </a:solidFill>
                        <a:ln w="6350">
                          <a:noFill/>
                        </a:ln>
                        <a:effectLst/>
                      </wps:spPr>
                      <wps:txbx>
                        <w:txbxContent>
                          <w:p>
                            <w:pPr>
                              <w:spacing w:line="460" w:lineRule="exact"/>
                              <w:rPr>
                                <w:rFonts w:ascii="仿宋_GB2312" w:hAnsi="仿宋_GB2312" w:eastAsia="仿宋_GB2312"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pt;margin-top:658.2pt;height:36pt;width:68.65pt;z-index:251661312;mso-width-relative:page;mso-height-relative:page;" fillcolor="#FFFFFF" filled="t" stroked="f" coordsize="21600,21600" o:gfxdata="UEsDBAoAAAAAAIdO4kAAAAAAAAAAAAAAAAAEAAAAZHJzL1BLAwQUAAAACACHTuJA4M5cQdcAAAAN&#10;AQAADwAAAGRycy9kb3ducmV2LnhtbE2PzU7DMBCE70i8g7VI3KhjahUrjdMDElck2tKzGy9x1Hgd&#10;2e7v0+Oe4Lgzo9lvmtXFj+yEMQ2BNIhZBQypC3agXsN28/GigKVsyJoxEGq4YoJV+/jQmNqGM33h&#10;aZ17Vkoo1UaDy3mqOU+dQ2/SLExIxfsJ0ZtczthzG825lPuRv1bVgnszUPngzITvDrvD+ug17Hp/&#10;232LKTrrR0mft+tmGwatn59EtQSW8ZL/wnDHL+jQFqZ9OJJNbNTwJmXZkosxFwsJrESUEnNg+7uk&#10;lATeNvz/ivYXUEsDBBQAAAAIAIdO4kBilfoSUQIAAJwEAAAOAAAAZHJzL2Uyb0RvYy54bWytVM1u&#10;EzEQviPxDpbvZJP+E3VThVZBSBWtFBBnx+vNWrI9ZuxkNzwAvAEnLtx5rjwHY+/2h8KhB3Jwxp7x&#10;N/6+mdnzi84atlUYNLiST0ZjzpSTUGm3LvnHD4tXZ5yFKFwlDDhV8p0K/GL28sV566fqABowlUJG&#10;IC5MW1/yJkY/LYogG2VFGIFXjpw1oBWRtrguKhQtoVtTHIzHJ0ULWHkEqUKg06veyQdEfA4g1LWW&#10;6grkxioXe1RURkSiFBrtA5/l19a1kvGmroOKzJScmMa8UhKyV2ktZudiukbhGy2HJ4jnPOEJJyu0&#10;o6T3UFciCrZB/ReU1RIhQB1HEmzRE8mKEIvJ+Ik2y0Z4lbmQ1MHfix7+H6x8v71FpivqBM6csFTw&#10;/fdv+x+/9j+/skmSp/VhSlFLT3GxewNdCh3OAx0m1l2NNv0TH0Z+End3L67qIpN0eHY6OT6k3pLk&#10;Ojo+pVZIKMXDZY8hvlVgWTJKjlS7LKnYXofYh96FpFwBjK4W2pi8wfXq0iDbCqrzIv8G9D/CjGNt&#10;yU8Oj8cZ2UG630Mbl3BUbpkhX2LeM0xW7FbdQHsF1Y7UQOjbKXi50PTmaxHirUDqHxKAJize0FIb&#10;oJQwWJw1gF/+dZ7iqazk5aylfix5+LwRqDgz7xwV/PXk6Cg1cN5k/TjDx57VY4/b2EsgKaio9Lps&#10;0mWM5s6sEewnGsR5ykou4STlLnm8My9jPyU0yFLN5zmIWtaLeO2WXiboJJiD+SZCrXOBkky9NlTY&#10;tKGmzSUeBixNxeN9jnr4qM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DOXEHXAAAADQEAAA8A&#10;AAAAAAAAAQAgAAAAIgAAAGRycy9kb3ducmV2LnhtbFBLAQIUABQAAAAIAIdO4kBilfoSUQIAAJwE&#10;AAAOAAAAAAAAAAEAIAAAACYBAABkcnMvZTJvRG9jLnhtbFBLBQYAAAAABgAGAFkBAADpBQAAAAA=&#10;">
                <v:fill on="t" focussize="0,0"/>
                <v:stroke on="f" weight="0.5pt"/>
                <v:imagedata o:title=""/>
                <o:lock v:ext="edit" aspectratio="f"/>
                <v:textbox>
                  <w:txbxContent>
                    <w:p>
                      <w:pPr>
                        <w:spacing w:line="460" w:lineRule="exact"/>
                        <w:rPr>
                          <w:rFonts w:ascii="仿宋_GB2312" w:hAnsi="仿宋_GB2312" w:eastAsia="仿宋_GB2312" w:cs="Times New Roman"/>
                          <w:sz w:val="28"/>
                          <w:szCs w:val="28"/>
                        </w:rPr>
                      </w:pPr>
                    </w:p>
                  </w:txbxContent>
                </v:textbox>
              </v:shape>
            </w:pict>
          </mc:Fallback>
        </mc:AlternateContent>
      </w:r>
      <w:r>
        <w:rPr>
          <w:rFonts w:hint="eastAsia"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494030</wp:posOffset>
                </wp:positionV>
                <wp:extent cx="871855" cy="457200"/>
                <wp:effectExtent l="0" t="0" r="4445" b="0"/>
                <wp:wrapNone/>
                <wp:docPr id="3" name="文本框 3"/>
                <wp:cNvGraphicFramePr/>
                <a:graphic xmlns:a="http://schemas.openxmlformats.org/drawingml/2006/main">
                  <a:graphicData uri="http://schemas.microsoft.com/office/word/2010/wordprocessingShape">
                    <wps:wsp>
                      <wps:cNvSpPr txBox="1"/>
                      <wps:spPr>
                        <a:xfrm>
                          <a:off x="0" y="0"/>
                          <a:ext cx="871538" cy="457200"/>
                        </a:xfrm>
                        <a:prstGeom prst="rect">
                          <a:avLst/>
                        </a:prstGeom>
                        <a:solidFill>
                          <a:srgbClr val="FFFFFF"/>
                        </a:solidFill>
                        <a:ln w="6350">
                          <a:noFill/>
                        </a:ln>
                        <a:effectLst/>
                      </wps:spPr>
                      <wps:txbx>
                        <w:txbxContent>
                          <w:p>
                            <w:pPr>
                              <w:spacing w:line="460" w:lineRule="exact"/>
                              <w:rPr>
                                <w:rFonts w:ascii="仿宋_GB2312" w:hAnsi="仿宋_GB2312" w:eastAsia="仿宋_GB2312"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pt;margin-top:38.9pt;height:36pt;width:68.65pt;z-index:251659264;mso-width-relative:page;mso-height-relative:page;" fillcolor="#FFFFFF" filled="t" stroked="f" coordsize="21600,21600" o:gfxdata="UEsDBAoAAAAAAIdO4kAAAAAAAAAAAAAAAAAEAAAAZHJzL1BLAwQUAAAACACHTuJA1dvx5dQAAAAI&#10;AQAADwAAAGRycy9kb3ducmV2LnhtbE2PzW7CMBCE75V4B2uReit2KC00xOGAxLVSgXI28TaOsNeR&#10;bX6fvs6pve1oRrPfVKubs+yCIXaeJBQTAQyp8bqjVsJ+t3lZAItJkVbWE0q4Y4RVPXqqVKn9lb7w&#10;sk0tyyUUSyXBpNSXnMfGoFNx4nuk7P344FTKMrRcB3XN5c7yqRDv3KmO8gejelwbbE7bs5NwaN3j&#10;8F30wWhnZ/T5uO/2vpPyeVyIJbCEt/QXhgE/o0OdmY7+TDoyK+F1moMS5vM8YLBn4g3YcTg+FsDr&#10;iv8fUP8CUEsDBBQAAAAIAIdO4kALBAt8UgIAAJwEAAAOAAAAZHJzL2Uyb0RvYy54bWytVM1uEzEQ&#10;viPxDpbvdJMm/SHKpgqtgpAqWqkgzo7Xm7Vke8zYyW55AHgDTly481x9DsbeTVsKhx7IwZk/f+P5&#10;ZmbnZ501bKcwaHAlHx+MOFNOQqXdpuQfP6xenXIWonCVMOBUyW9V4GeLly/mrZ+pQ2jAVAoZgbgw&#10;a33Jmxj9rCiCbJQV4QC8cuSsAa2IpOKmqFC0hG5NcTgaHRctYOURpAqBrBe9kw+I+BxAqGst1QXI&#10;rVUu9qiojIhUUmi0D3yRX1vXSsarug4qMlNyqjTmk5KQvE5nsZiL2QaFb7QcniCe84QnNVmhHSW9&#10;h7oQUbAt6r+grJYIAep4IMEWfSGZEapiPHrCzU0jvMq1ENXB35Me/h+sfL+7Rqarkk84c8JSw+++&#10;f7v78evu51c2SfS0Pswo6sZTXOzeQEdDs7cHMqaquxpt+qd6GPmJ3Nt7clUXmSTj6cn4aEKzJck1&#10;PTqhUUgoxcNljyG+VWBZEkqO1LtMqdhdhtiH7kNSrgBGVyttTFZwsz43yHaC+rzKvwH9jzDjWFvy&#10;48nRKCM7SPd7aOMSjsojM+RLlfcVJil2626gYw3VLbGB0I9T8HKl6c2XIsRrgTQ/RABtWLyiozZA&#10;KWGQOGsAv/zLnuKpreTlrKV5LHn4vBWoODPvHDX89Xg6TQOclcwfZ/jYs37scVt7DkTFmHbZyyzS&#10;ZYxmL9YI9hMt4jJlJZdwknKXPO7F89hvCS2yVMtlDqKR9SJeuhsvE3QizMFyG6HWuUGJpp4bamxS&#10;aGhzi4cFS1vxWM9RDx+V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V2/Hl1AAAAAgBAAAPAAAA&#10;AAAAAAEAIAAAACIAAABkcnMvZG93bnJldi54bWxQSwECFAAUAAAACACHTuJACwQLfFICAACcBAAA&#10;DgAAAAAAAAABACAAAAAjAQAAZHJzL2Uyb0RvYy54bWxQSwUGAAAAAAYABgBZAQAA5wUAAAAA&#10;">
                <v:fill on="t" focussize="0,0"/>
                <v:stroke on="f" weight="0.5pt"/>
                <v:imagedata o:title=""/>
                <o:lock v:ext="edit" aspectratio="f"/>
                <v:textbox>
                  <w:txbxContent>
                    <w:p>
                      <w:pPr>
                        <w:spacing w:line="460" w:lineRule="exact"/>
                        <w:rPr>
                          <w:rFonts w:ascii="仿宋_GB2312" w:hAnsi="仿宋_GB2312" w:eastAsia="仿宋_GB2312" w:cs="Times New Roman"/>
                          <w:sz w:val="28"/>
                          <w:szCs w:val="28"/>
                        </w:rPr>
                      </w:pPr>
                    </w:p>
                  </w:txbxContent>
                </v:textbox>
              </v:shape>
            </w:pict>
          </mc:Fallback>
        </mc:AlternateContent>
      </w:r>
    </w:p>
    <w:p>
      <w:pPr>
        <w:rPr>
          <w:rFonts w:ascii="Calibri" w:hAnsi="Calibri" w:eastAsia="宋体" w:cs="Times New Roman"/>
        </w:rPr>
      </w:pPr>
    </w:p>
    <w:p/>
    <w:sectPr>
      <w:footerReference r:id="rId3" w:type="default"/>
      <w:footerReference r:id="rId4" w:type="even"/>
      <w:pgSz w:w="11906" w:h="16838"/>
      <w:pgMar w:top="2098" w:right="1474" w:bottom="1247"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460" w:lineRule="exact"/>
      <w:ind w:left="210" w:leftChars="100" w:right="210" w:rightChars="100"/>
      <w:jc w:val="right"/>
      <w:rPr>
        <w:rFonts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15</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460" w:lineRule="exact"/>
      <w:ind w:left="210" w:leftChars="100" w:right="210" w:rightChars="100"/>
      <w:jc w:val="left"/>
      <w:rPr>
        <w:rFonts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16</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NDg3Mzg3NDA1YjkxM2NmYjVlYTRkZmNmZjBiOWIifQ=="/>
  </w:docVars>
  <w:rsids>
    <w:rsidRoot w:val="00000000"/>
    <w:rsid w:val="10D516BC"/>
    <w:rsid w:val="24A36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2024-05-11T07:34:00Z</dcterms:created>
  <dc:creator>Administrator</dc:creator>
  <cp:lastModifiedBy>WPS_1615026139</cp:lastModifiedBy>
  <dcterms:modified xsi:type="dcterms:W3CDTF">2024-05-11T07:38:21Z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3D634EB3B35943F89C11F6234378EB13_12</vt:lpwstr>
  </property>
</Properties>
</file>