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kern w:val="0"/>
        </w:rPr>
      </w:pPr>
      <w:bookmarkStart w:id="0" w:name="_bookmark1"/>
      <w:bookmarkEnd w:id="0"/>
      <w:bookmarkStart w:id="1" w:name="_Toc22654"/>
      <w:bookmarkStart w:id="2" w:name="_Toc13373"/>
      <w:bookmarkStart w:id="3" w:name="_Toc16207"/>
      <w:bookmarkStart w:id="4" w:name="_Toc6554"/>
      <w:bookmarkStart w:id="5" w:name="_Toc13404"/>
      <w:r>
        <w:rPr>
          <w:rFonts w:hint="default" w:ascii="Times New Roman" w:hAnsi="Times New Roman" w:eastAsia="黑体" w:cs="Times New Roman"/>
          <w:kern w:val="0"/>
        </w:rPr>
        <w:t>附件2</w:t>
      </w:r>
      <w:bookmarkEnd w:id="1"/>
      <w:bookmarkEnd w:id="2"/>
      <w:bookmarkEnd w:id="3"/>
      <w:bookmarkEnd w:id="4"/>
      <w:bookmarkEnd w:id="5"/>
    </w:p>
    <w:p>
      <w:pPr>
        <w:widowControl/>
        <w:spacing w:line="70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6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</w:rPr>
        <w:t>乐山高新区自然灾害救助应急预案启动条件及审批权限表</w:t>
      </w:r>
    </w:p>
    <w:bookmarkEnd w:id="6"/>
    <w:tbl>
      <w:tblPr>
        <w:tblStyle w:val="4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52"/>
        <w:gridCol w:w="2228"/>
        <w:gridCol w:w="3198"/>
        <w:gridCol w:w="3449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响应等级</w:t>
            </w:r>
          </w:p>
        </w:tc>
        <w:tc>
          <w:tcPr>
            <w:tcW w:w="10327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启动条件：一次灾害过程造成我区发生巨大或特别重大自然灾害，出现下列情况之一的（本表数据以上含本数，以下不含本数）。</w:t>
            </w:r>
          </w:p>
        </w:tc>
        <w:tc>
          <w:tcPr>
            <w:tcW w:w="3089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审批人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41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死亡人口（人）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紧急转移安置人数或需生活救助人口（万人）</w:t>
            </w:r>
          </w:p>
        </w:tc>
        <w:tc>
          <w:tcPr>
            <w:tcW w:w="319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倒塌和严重损坏房屋（间、户）</w:t>
            </w:r>
          </w:p>
        </w:tc>
        <w:tc>
          <w:tcPr>
            <w:tcW w:w="344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旱灾造成需救助人口占农业人口比例</w:t>
            </w:r>
          </w:p>
        </w:tc>
        <w:tc>
          <w:tcPr>
            <w:tcW w:w="3089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一级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5以上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1以上</w:t>
            </w:r>
          </w:p>
        </w:tc>
        <w:tc>
          <w:tcPr>
            <w:tcW w:w="319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1000以上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500户以上</w:t>
            </w:r>
          </w:p>
        </w:tc>
        <w:tc>
          <w:tcPr>
            <w:tcW w:w="344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%以上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区减灾委主任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二级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3-5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0.4-1</w:t>
            </w:r>
          </w:p>
        </w:tc>
        <w:tc>
          <w:tcPr>
            <w:tcW w:w="319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300-1000间或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100-500户</w:t>
            </w:r>
          </w:p>
        </w:tc>
        <w:tc>
          <w:tcPr>
            <w:tcW w:w="344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%-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区减灾委副主任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三级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1-3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0.2-0.4</w:t>
            </w:r>
          </w:p>
        </w:tc>
        <w:tc>
          <w:tcPr>
            <w:tcW w:w="319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100-300间或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30-100户</w:t>
            </w:r>
          </w:p>
        </w:tc>
        <w:tc>
          <w:tcPr>
            <w:tcW w:w="344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%-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区减灾委办公室主任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四级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/</w:t>
            </w:r>
          </w:p>
        </w:tc>
        <w:tc>
          <w:tcPr>
            <w:tcW w:w="222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0.1-0.2</w:t>
            </w:r>
          </w:p>
        </w:tc>
        <w:tc>
          <w:tcPr>
            <w:tcW w:w="3198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30-100间或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10-30户</w:t>
            </w:r>
          </w:p>
        </w:tc>
        <w:tc>
          <w:tcPr>
            <w:tcW w:w="344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%-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308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区减灾委办公室副主任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启动条件调整</w:t>
            </w:r>
          </w:p>
        </w:tc>
        <w:tc>
          <w:tcPr>
            <w:tcW w:w="13416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对灾害发生在敏感地区、敏感时间和救助能力特别薄弱的地区，或灾害对我区经济社会造成重大影响时，启动区级自然灾害救助应急响应的标准可酌情调整。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2E2E6D92"/>
    <w:rsid w:val="2E2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2023-06-09T01:33:00Z</dcterms:created>
  <dc:creator>小小四 </dc:creator>
  <cp:lastModifiedBy>小小四 </cp:lastModifiedBy>
  <dcterms:modified xsi:type="dcterms:W3CDTF">2023-06-09T01:33:23Z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D5F7FFEFE6C645AEA0D01B404C8E4AA8_11</vt:lpwstr>
  </property>
</Properties>
</file>