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bookmarkStart w:id="0" w:name="_GoBack"/>
      <w:r>
        <w:rPr>
          <w:rFonts w:hint="default" w:ascii="Times New Roman" w:hAnsi="Times New Roman" w:eastAsia="黑体" w:cs="Times New Roman"/>
        </w:rPr>
        <w:t>附件2</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四川省县域学前教育普及普惠督导评估指标细则及责任分工表</w:t>
      </w:r>
    </w:p>
    <w:bookmarkEnd w:id="0"/>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简体" w:cs="Times New Roman"/>
          <w:sz w:val="44"/>
          <w:szCs w:val="44"/>
        </w:rPr>
      </w:pPr>
    </w:p>
    <w:tbl>
      <w:tblPr>
        <w:tblStyle w:val="3"/>
        <w:tblpPr w:leftFromText="180" w:rightFromText="180" w:vertAnchor="text" w:tblpXSpec="center" w:tblpY="1"/>
        <w:tblOverlap w:val="never"/>
        <w:tblW w:w="13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160"/>
        <w:gridCol w:w="2593"/>
        <w:gridCol w:w="7245"/>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10"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bCs/>
                <w:kern w:val="0"/>
              </w:rPr>
            </w:pPr>
            <w:r>
              <w:rPr>
                <w:rFonts w:hint="default" w:ascii="Times New Roman" w:hAnsi="Times New Roman" w:eastAsia="黑体" w:cs="Times New Roman"/>
                <w:bCs/>
                <w:kern w:val="0"/>
              </w:rPr>
              <w:t>一级</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bCs/>
                <w:kern w:val="0"/>
              </w:rPr>
            </w:pPr>
            <w:r>
              <w:rPr>
                <w:rFonts w:hint="default" w:ascii="Times New Roman" w:hAnsi="Times New Roman" w:eastAsia="黑体" w:cs="Times New Roman"/>
                <w:bCs/>
                <w:kern w:val="0"/>
              </w:rPr>
              <w:t>指标</w:t>
            </w:r>
          </w:p>
        </w:tc>
        <w:tc>
          <w:tcPr>
            <w:tcW w:w="1160" w:type="dxa"/>
            <w:noWrap/>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bCs/>
                <w:color w:val="000000"/>
                <w:kern w:val="0"/>
              </w:rPr>
            </w:pPr>
            <w:r>
              <w:rPr>
                <w:rFonts w:hint="default" w:ascii="Times New Roman" w:hAnsi="Times New Roman" w:eastAsia="黑体" w:cs="Times New Roman"/>
                <w:bCs/>
                <w:color w:val="000000"/>
                <w:kern w:val="0"/>
              </w:rPr>
              <w:t>二级</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bCs/>
                <w:color w:val="000000"/>
                <w:kern w:val="0"/>
              </w:rPr>
            </w:pPr>
            <w:r>
              <w:rPr>
                <w:rFonts w:hint="default" w:ascii="Times New Roman" w:hAnsi="Times New Roman" w:eastAsia="黑体" w:cs="Times New Roman"/>
                <w:bCs/>
                <w:color w:val="000000"/>
                <w:kern w:val="0"/>
              </w:rPr>
              <w:t>指标</w:t>
            </w:r>
          </w:p>
        </w:tc>
        <w:tc>
          <w:tcPr>
            <w:tcW w:w="2593" w:type="dxa"/>
            <w:noWrap/>
            <w:vAlign w:val="center"/>
          </w:tcPr>
          <w:p>
            <w:pPr>
              <w:snapToGrid w:val="0"/>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三级指标</w:t>
            </w:r>
          </w:p>
        </w:tc>
        <w:tc>
          <w:tcPr>
            <w:tcW w:w="7245" w:type="dxa"/>
            <w:noWrap/>
            <w:vAlign w:val="center"/>
          </w:tcPr>
          <w:p>
            <w:pPr>
              <w:snapToGrid w:val="0"/>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评估要点及标准</w:t>
            </w:r>
          </w:p>
        </w:tc>
        <w:tc>
          <w:tcPr>
            <w:tcW w:w="1723" w:type="dxa"/>
            <w:noWrap w:val="0"/>
            <w:vAlign w:val="center"/>
          </w:tcPr>
          <w:p>
            <w:pPr>
              <w:snapToGrid w:val="0"/>
              <w:ind w:right="-157" w:rightChars="-49"/>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1010" w:type="dxa"/>
            <w:vMerge w:val="restart"/>
            <w:noWrap w:val="0"/>
            <w:vAlign w:val="center"/>
          </w:tcPr>
          <w:p>
            <w:pPr>
              <w:snapToGrid w:val="0"/>
              <w:jc w:val="center"/>
              <w:rPr>
                <w:rFonts w:hint="default" w:ascii="Times New Roman" w:hAnsi="Times New Roman" w:cs="Times New Roman"/>
                <w:bCs/>
                <w:color w:val="000000"/>
                <w:kern w:val="0"/>
                <w:sz w:val="24"/>
                <w:szCs w:val="24"/>
              </w:rPr>
            </w:pPr>
            <w:r>
              <w:rPr>
                <w:rFonts w:hint="default" w:ascii="Times New Roman" w:hAnsi="Times New Roman" w:cs="Times New Roman"/>
                <w:bCs/>
                <w:kern w:val="0"/>
                <w:sz w:val="24"/>
                <w:szCs w:val="24"/>
              </w:rPr>
              <w:t>A1.普及普惠水平</w:t>
            </w:r>
          </w:p>
        </w:tc>
        <w:tc>
          <w:tcPr>
            <w:tcW w:w="1160" w:type="dxa"/>
            <w:noWrap/>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B1.</w:t>
            </w:r>
            <w:r>
              <w:rPr>
                <w:rFonts w:hint="default" w:ascii="Times New Roman" w:hAnsi="Times New Roman" w:cs="Times New Roman"/>
                <w:kern w:val="0"/>
                <w:sz w:val="24"/>
                <w:szCs w:val="24"/>
              </w:rPr>
              <w:t>学前三年毛入园率</w:t>
            </w:r>
          </w:p>
        </w:tc>
        <w:tc>
          <w:tcPr>
            <w:tcW w:w="2593" w:type="dxa"/>
            <w:noWrap/>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C1.学前三年毛入园率达到85%。</w:t>
            </w:r>
          </w:p>
        </w:tc>
        <w:tc>
          <w:tcPr>
            <w:tcW w:w="7245" w:type="dxa"/>
            <w:noWrap/>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学前三年毛入园率=县域</w:t>
            </w:r>
            <w:r>
              <w:rPr>
                <w:rFonts w:hint="default" w:ascii="Times New Roman" w:hAnsi="Times New Roman" w:cs="Times New Roman"/>
                <w:sz w:val="24"/>
                <w:szCs w:val="24"/>
              </w:rPr>
              <w:t>学前教育在园（班）幼儿总数÷县域常住人口中3～5岁年龄组人口数（民族地区可为4～6岁年龄组人口数）×100%。依据最新</w:t>
            </w:r>
            <w:r>
              <w:rPr>
                <w:rFonts w:hint="default" w:ascii="Times New Roman" w:hAnsi="Times New Roman" w:cs="Times New Roman"/>
                <w:kern w:val="0"/>
                <w:sz w:val="24"/>
                <w:szCs w:val="24"/>
              </w:rPr>
              <w:t>教育事业统计数据，达到85%以上。（根据《四川省“十四五”学前教育发展提升行动计划实施方案》要求，2025年须达到92%以上）</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公安分局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p>
            <w:pPr>
              <w:snapToGrid w:val="0"/>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安谷镇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1010" w:type="dxa"/>
            <w:vMerge w:val="continue"/>
            <w:noWrap w:val="0"/>
            <w:vAlign w:val="center"/>
          </w:tcPr>
          <w:p>
            <w:pPr>
              <w:snapToGrid w:val="0"/>
              <w:jc w:val="center"/>
              <w:rPr>
                <w:rFonts w:hint="default" w:ascii="Times New Roman" w:hAnsi="Times New Roman" w:cs="Times New Roman"/>
                <w:bCs/>
                <w:color w:val="000000"/>
                <w:kern w:val="0"/>
                <w:sz w:val="24"/>
                <w:szCs w:val="24"/>
              </w:rPr>
            </w:pPr>
          </w:p>
        </w:tc>
        <w:tc>
          <w:tcPr>
            <w:tcW w:w="1160" w:type="dxa"/>
            <w:noWrap/>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B2.</w:t>
            </w:r>
            <w:r>
              <w:rPr>
                <w:rFonts w:hint="default" w:ascii="Times New Roman" w:hAnsi="Times New Roman" w:cs="Times New Roman"/>
                <w:kern w:val="0"/>
                <w:sz w:val="24"/>
                <w:szCs w:val="24"/>
              </w:rPr>
              <w:t>普惠性幼儿园覆盖率</w:t>
            </w:r>
          </w:p>
        </w:tc>
        <w:tc>
          <w:tcPr>
            <w:tcW w:w="2593" w:type="dxa"/>
            <w:noWrap/>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C2.普惠性幼儿园覆盖率达到80%。</w:t>
            </w:r>
          </w:p>
        </w:tc>
        <w:tc>
          <w:tcPr>
            <w:tcW w:w="7245" w:type="dxa"/>
            <w:noWrap/>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sz w:val="24"/>
                <w:szCs w:val="24"/>
              </w:rPr>
              <w:t>普惠性幼儿园覆盖率=县域普惠性幼儿园（公办园+普惠性民办园）在园幼儿数÷县域各类幼儿园在园幼儿总数×100%。</w:t>
            </w:r>
            <w:r>
              <w:rPr>
                <w:rFonts w:hint="default" w:ascii="Times New Roman" w:hAnsi="Times New Roman" w:cs="Times New Roman"/>
                <w:kern w:val="0"/>
                <w:sz w:val="24"/>
                <w:szCs w:val="24"/>
              </w:rPr>
              <w:t>依据</w:t>
            </w:r>
            <w:r>
              <w:rPr>
                <w:rFonts w:hint="default" w:ascii="Times New Roman" w:hAnsi="Times New Roman" w:cs="Times New Roman"/>
                <w:sz w:val="24"/>
                <w:szCs w:val="24"/>
              </w:rPr>
              <w:t>最新</w:t>
            </w:r>
            <w:r>
              <w:rPr>
                <w:rFonts w:hint="default" w:ascii="Times New Roman" w:hAnsi="Times New Roman" w:cs="Times New Roman"/>
                <w:kern w:val="0"/>
                <w:sz w:val="24"/>
                <w:szCs w:val="24"/>
              </w:rPr>
              <w:t>教育事业统计数据，达到80%以上。（根据《四川省“十四五”学前教育发展提升行动计划实施方案》要求，2025年须达到86%以上）</w:t>
            </w:r>
          </w:p>
        </w:tc>
        <w:tc>
          <w:tcPr>
            <w:tcW w:w="1723" w:type="dxa"/>
            <w:noWrap w:val="0"/>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1010" w:type="dxa"/>
            <w:vMerge w:val="continue"/>
            <w:noWrap w:val="0"/>
            <w:vAlign w:val="center"/>
          </w:tcPr>
          <w:p>
            <w:pPr>
              <w:snapToGrid w:val="0"/>
              <w:jc w:val="center"/>
              <w:rPr>
                <w:rFonts w:hint="default" w:ascii="Times New Roman" w:hAnsi="Times New Roman" w:cs="Times New Roman"/>
                <w:bCs/>
                <w:color w:val="000000"/>
                <w:kern w:val="0"/>
                <w:sz w:val="24"/>
                <w:szCs w:val="24"/>
              </w:rPr>
            </w:pPr>
          </w:p>
        </w:tc>
        <w:tc>
          <w:tcPr>
            <w:tcW w:w="1160" w:type="dxa"/>
            <w:noWrap/>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B3.</w:t>
            </w:r>
            <w:r>
              <w:rPr>
                <w:rFonts w:hint="default" w:ascii="Times New Roman" w:hAnsi="Times New Roman" w:cs="Times New Roman"/>
                <w:kern w:val="0"/>
                <w:sz w:val="24"/>
                <w:szCs w:val="24"/>
              </w:rPr>
              <w:t>公办幼儿园在园幼儿占比</w:t>
            </w:r>
          </w:p>
        </w:tc>
        <w:tc>
          <w:tcPr>
            <w:tcW w:w="2593" w:type="dxa"/>
            <w:noWrap/>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C3.公办幼儿园在园幼儿占比达到50%。</w:t>
            </w:r>
          </w:p>
        </w:tc>
        <w:tc>
          <w:tcPr>
            <w:tcW w:w="7245" w:type="dxa"/>
            <w:noWrap/>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sz w:val="24"/>
                <w:szCs w:val="24"/>
              </w:rPr>
              <w:t>公办幼儿园在园幼儿占比=县域公办幼儿园（含非独立建制的公办中小学附设幼儿园和幼教点）在园幼儿数÷县域各类幼儿园在园幼儿总数×100%。</w:t>
            </w:r>
            <w:r>
              <w:rPr>
                <w:rFonts w:hint="default" w:ascii="Times New Roman" w:hAnsi="Times New Roman" w:cs="Times New Roman"/>
                <w:kern w:val="0"/>
                <w:sz w:val="24"/>
                <w:szCs w:val="24"/>
              </w:rPr>
              <w:t>依据最新教育事业统计数据，达到50%以上。（根据《四川省“十四五”学前教育发展提升行动计划实施方案》要求，2025年须达到55%以上）</w:t>
            </w:r>
          </w:p>
        </w:tc>
        <w:tc>
          <w:tcPr>
            <w:tcW w:w="1723" w:type="dxa"/>
            <w:noWrap w:val="0"/>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1010" w:type="dxa"/>
            <w:vMerge w:val="restart"/>
            <w:noWrap w:val="0"/>
            <w:vAlign w:val="center"/>
          </w:tcPr>
          <w:p>
            <w:pPr>
              <w:widowControl/>
              <w:snapToGrid w:val="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A2.政府保障情况</w:t>
            </w:r>
          </w:p>
        </w:tc>
        <w:tc>
          <w:tcPr>
            <w:tcW w:w="1160" w:type="dxa"/>
            <w:noWrap w:val="0"/>
            <w:vAlign w:val="center"/>
          </w:tcPr>
          <w:p>
            <w:pPr>
              <w:widowControl/>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B4.党的领导坚强有力</w:t>
            </w:r>
          </w:p>
        </w:tc>
        <w:tc>
          <w:tcPr>
            <w:tcW w:w="2593" w:type="dxa"/>
            <w:noWrap w:val="0"/>
            <w:vAlign w:val="center"/>
          </w:tcPr>
          <w:p>
            <w:pPr>
              <w:widowControl/>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C4.县委县政府加强对学前教育事业的领导，幼儿园党的组织和党的工作实现全覆盖。</w:t>
            </w:r>
          </w:p>
        </w:tc>
        <w:tc>
          <w:tcPr>
            <w:tcW w:w="7245" w:type="dxa"/>
            <w:noWrap w:val="0"/>
            <w:vAlign w:val="center"/>
          </w:tcPr>
          <w:p>
            <w:pPr>
              <w:widowControl/>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落实县（市、区）党委政府主体责任，加强领导和指导，每年至少听取1次中小学党建（含幼儿园）汇报。县（市、区）党委教育工作部门或教育行政部门党组织加强对幼儿园党建工作的指导、督促和检查，纳入教育督导内容。教职工中有正式党员3名以上的幼儿园（含民办），已单独建立党组织；党员人数不足3人的，建立联合党组织或挂靠乡镇（街道）、村（社区）党组织；没有党员的，配备党员教师或党建指导员。</w:t>
            </w:r>
          </w:p>
        </w:tc>
        <w:tc>
          <w:tcPr>
            <w:tcW w:w="1723" w:type="dxa"/>
            <w:noWrap w:val="0"/>
            <w:vAlign w:val="center"/>
          </w:tcPr>
          <w:p>
            <w:pPr>
              <w:widowControl/>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党群工作部</w:t>
            </w:r>
          </w:p>
          <w:p>
            <w:pPr>
              <w:widowControl/>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10" w:type="dxa"/>
            <w:vMerge w:val="continue"/>
            <w:noWrap w:val="0"/>
            <w:vAlign w:val="center"/>
          </w:tcPr>
          <w:p>
            <w:pPr>
              <w:snapToGrid w:val="0"/>
              <w:jc w:val="center"/>
              <w:rPr>
                <w:rFonts w:hint="default" w:ascii="Times New Roman" w:hAnsi="Times New Roman" w:cs="Times New Roman"/>
                <w:bCs/>
                <w:kern w:val="0"/>
                <w:sz w:val="24"/>
                <w:szCs w:val="24"/>
              </w:rPr>
            </w:pPr>
          </w:p>
        </w:tc>
        <w:tc>
          <w:tcPr>
            <w:tcW w:w="1160" w:type="dxa"/>
            <w:vMerge w:val="restart"/>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B5.发展规划科学合理</w:t>
            </w: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C5.制定幼儿园布局规划。</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综合考虑城乡社会经济发展、三孩政策全面实施、人口流动、乡镇行政区划调整等因素，科学制定幼儿园布局规划。</w:t>
            </w:r>
          </w:p>
        </w:tc>
        <w:tc>
          <w:tcPr>
            <w:tcW w:w="1723" w:type="dxa"/>
            <w:noWrap w:val="0"/>
            <w:vAlign w:val="center"/>
          </w:tcPr>
          <w:p>
            <w:pPr>
              <w:snapToGrid w:val="0"/>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自然资源规划分局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1010" w:type="dxa"/>
            <w:vMerge w:val="continue"/>
            <w:noWrap w:val="0"/>
            <w:vAlign w:val="center"/>
          </w:tcPr>
          <w:p>
            <w:pPr>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C6.把普惠性幼儿园建设纳入城乡公共管理和公共服务设施统一规划，列入本地区控制性详细规划。</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区</w:t>
            </w:r>
            <w:r>
              <w:rPr>
                <w:rFonts w:hint="default" w:ascii="Times New Roman" w:hAnsi="Times New Roman" w:cs="Times New Roman"/>
                <w:kern w:val="0"/>
                <w:sz w:val="24"/>
                <w:szCs w:val="24"/>
              </w:rPr>
              <w:t>域控制性详细规划中把普惠性幼儿园建设纳入城乡公共管理和公共服务设施统一规划且选定具体位置、明确服务范围、确定建设规模。</w:t>
            </w:r>
          </w:p>
        </w:tc>
        <w:tc>
          <w:tcPr>
            <w:tcW w:w="1723" w:type="dxa"/>
            <w:noWrap w:val="0"/>
            <w:vAlign w:val="center"/>
          </w:tcPr>
          <w:p>
            <w:pPr>
              <w:snapToGrid w:val="0"/>
              <w:jc w:val="center"/>
              <w:rPr>
                <w:rFonts w:hint="default" w:ascii="Times New Roman" w:hAnsi="Times New Roman" w:eastAsia="仿宋_GB2312" w:cs="Times New Roman"/>
                <w:bCs/>
                <w:kern w:val="0"/>
                <w:sz w:val="24"/>
                <w:szCs w:val="24"/>
                <w:lang w:eastAsia="zh-CN"/>
              </w:rPr>
            </w:pPr>
            <w:r>
              <w:rPr>
                <w:rFonts w:hint="default" w:ascii="Times New Roman" w:hAnsi="Times New Roman" w:cs="Times New Roman"/>
                <w:bCs/>
                <w:kern w:val="0"/>
                <w:sz w:val="24"/>
                <w:szCs w:val="24"/>
                <w:lang w:eastAsia="zh-CN"/>
              </w:rPr>
              <w:t>自然资源规划分局</w:t>
            </w:r>
          </w:p>
          <w:p>
            <w:pPr>
              <w:snapToGrid w:val="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1010" w:type="dxa"/>
            <w:vMerge w:val="continue"/>
            <w:noWrap w:val="0"/>
            <w:vAlign w:val="center"/>
          </w:tcPr>
          <w:p>
            <w:pPr>
              <w:snapToGrid w:val="0"/>
              <w:jc w:val="center"/>
              <w:rPr>
                <w:rFonts w:hint="default" w:ascii="Times New Roman" w:hAnsi="Times New Roman" w:cs="Times New Roman"/>
                <w:bCs/>
                <w:kern w:val="0"/>
                <w:sz w:val="24"/>
                <w:szCs w:val="24"/>
              </w:rPr>
            </w:pPr>
          </w:p>
        </w:tc>
        <w:tc>
          <w:tcPr>
            <w:tcW w:w="1160" w:type="dxa"/>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B6.学前教育公共服务网络基本完善</w:t>
            </w:r>
          </w:p>
        </w:tc>
        <w:tc>
          <w:tcPr>
            <w:tcW w:w="259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C7.农村地区每个乡镇原则上至少有一所公办中心园，大村独立建园或设分园，小村联合办园，人口分散地区根据实际情况举办流动幼儿园、季节班等。</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办有幼儿园的乡镇至少有1所公办中心幼儿园（含未独立建制的乡镇中心校附设幼儿园）。根据当地实际，采取大村独立建园或设分园、小村联合办园，人口分散地区根据实际情况举办流动幼儿园、幼儿班、季节班等；民族地区办好“一村一幼”。幼儿园点位布局满足农村地区适龄儿童就近入园需求。</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Merge w:val="continue"/>
            <w:noWrap w:val="0"/>
            <w:vAlign w:val="center"/>
          </w:tcPr>
          <w:p>
            <w:pPr>
              <w:snapToGrid w:val="0"/>
              <w:jc w:val="center"/>
              <w:rPr>
                <w:rFonts w:hint="default" w:ascii="Times New Roman" w:hAnsi="Times New Roman" w:cs="Times New Roman"/>
                <w:bCs/>
                <w:kern w:val="0"/>
                <w:sz w:val="24"/>
                <w:szCs w:val="24"/>
              </w:rPr>
            </w:pPr>
          </w:p>
        </w:tc>
        <w:tc>
          <w:tcPr>
            <w:tcW w:w="1160" w:type="dxa"/>
            <w:vMerge w:val="restart"/>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B7.小区配套幼儿园管理规范</w:t>
            </w:r>
          </w:p>
        </w:tc>
        <w:tc>
          <w:tcPr>
            <w:tcW w:w="259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C8.落实省定小区配套幼儿园建设管理办法，小区配套幼儿园与首期建设的居民住宅区同步规划、同步设计、同步建设、同步验收、同步交付使用。</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认真落实《四川省住宅小区配套幼儿园建设管理办法》，制定当地小区配套幼儿园建设管理具体实施办法，小区配套幼儿园建设中做到与首期建设的居民住宅区同步规划、同步设计、同步建设、同步验收、同步交付使用“五同步”。</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新城建设局</w:t>
            </w:r>
          </w:p>
          <w:p>
            <w:pPr>
              <w:snapToGrid w:val="0"/>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自然资源规划分局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010" w:type="dxa"/>
            <w:vMerge w:val="continue"/>
            <w:noWrap w:val="0"/>
            <w:vAlign w:val="center"/>
          </w:tcPr>
          <w:p>
            <w:pPr>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C9.现有小区配套幼儿园由当地政府统筹安排办成公办幼儿园或委托办成普惠性民办幼儿园，且运转良好。</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城镇小区配套幼儿园不得办成营利性幼儿园，</w:t>
            </w:r>
            <w:r>
              <w:rPr>
                <w:rFonts w:hint="default" w:ascii="Times New Roman" w:hAnsi="Times New Roman" w:cs="Times New Roman"/>
                <w:kern w:val="0"/>
                <w:sz w:val="24"/>
                <w:szCs w:val="24"/>
              </w:rPr>
              <w:t>已建成的小区配套幼儿园由当地政府统筹安排办成公办幼儿园或委托办成普惠性民办幼儿园，且运转良好。</w:t>
            </w:r>
          </w:p>
        </w:tc>
        <w:tc>
          <w:tcPr>
            <w:tcW w:w="1723" w:type="dxa"/>
            <w:noWrap w:val="0"/>
            <w:vAlign w:val="center"/>
          </w:tcPr>
          <w:p>
            <w:pPr>
              <w:snapToGrid w:val="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新城建设局</w:t>
            </w:r>
          </w:p>
          <w:p>
            <w:pPr>
              <w:snapToGrid w:val="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010" w:type="dxa"/>
            <w:vMerge w:val="continue"/>
            <w:noWrap w:val="0"/>
            <w:vAlign w:val="center"/>
          </w:tcPr>
          <w:p>
            <w:pPr>
              <w:snapToGrid w:val="0"/>
              <w:jc w:val="center"/>
              <w:rPr>
                <w:rFonts w:hint="default" w:ascii="Times New Roman" w:hAnsi="Times New Roman" w:cs="Times New Roman"/>
                <w:bCs/>
                <w:kern w:val="0"/>
                <w:sz w:val="24"/>
                <w:szCs w:val="24"/>
              </w:rPr>
            </w:pPr>
          </w:p>
        </w:tc>
        <w:tc>
          <w:tcPr>
            <w:tcW w:w="1160" w:type="dxa"/>
            <w:vMerge w:val="restart"/>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B8.财政投入到位</w:t>
            </w: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C10.落实省定公办幼儿园生均财政拨款标准或生均公用经费标准。</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根据《教育部 国家发展改革委 财政部关于实施新时代基础教育扩优提质行动计划的意见》（教基〔2023〕4号），制定并落实当地公办幼儿园生均公用经费财政拨款基础标准从2024年起达到每生每年600元。有条件的地方可进一步提高，目前标准高于600元的地方不得下调。</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财政局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010" w:type="dxa"/>
            <w:vMerge w:val="continue"/>
            <w:noWrap w:val="0"/>
            <w:vAlign w:val="center"/>
          </w:tcPr>
          <w:p>
            <w:pPr>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C11.</w:t>
            </w:r>
            <w:r>
              <w:rPr>
                <w:rFonts w:hint="default" w:ascii="Times New Roman" w:hAnsi="Times New Roman" w:cs="Times New Roman"/>
                <w:spacing w:val="-11"/>
                <w:kern w:val="0"/>
                <w:sz w:val="24"/>
                <w:szCs w:val="24"/>
              </w:rPr>
              <w:t>落实企事业单位、部队、高校、街道、村集体办幼儿园财政补助政策。</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根据《四川省财政厅 四川省教育厅关于完善公办幼儿园生均公用经费财政拨款制度和建立普惠性民办幼儿园财政补助标准的通知》（川财教〔2019〕208号），国有企事业单位、部队、街道（社区、村集体）办幼儿园生均公用经费财政拨款基础标准可参照公办幼儿园生均拨款制度执行。</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财政局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p>
            <w:pPr>
              <w:snapToGrid w:val="0"/>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安谷镇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010" w:type="dxa"/>
            <w:vMerge w:val="continue"/>
            <w:noWrap w:val="0"/>
            <w:vAlign w:val="center"/>
          </w:tcPr>
          <w:p>
            <w:pPr>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C12.落实省定普惠性民办幼儿园认定标准、补助标准及扶持政策。</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依据《四川省普惠性民办幼儿园认定和管理办法》，制定当地实施办法，落实认定标准和程序；根据《四川省财政厅 四川省教育厅关于完善公办幼儿园生均公用经费财政拨款制度和建立普惠性民办幼儿园财政补助标准的通知》（川财教〔2019〕208号），制定并落实当地普惠性民办幼儿园财政补助标准每生每年不低于500元。</w:t>
            </w:r>
          </w:p>
        </w:tc>
        <w:tc>
          <w:tcPr>
            <w:tcW w:w="1723" w:type="dxa"/>
            <w:noWrap w:val="0"/>
            <w:vAlign w:val="center"/>
          </w:tcPr>
          <w:p>
            <w:pPr>
              <w:snapToGrid w:val="0"/>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产业经济局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财政局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restart"/>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B9.收费合理</w:t>
            </w: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C13.落实公办幼儿园收费标准和普惠性民办幼儿园收费办法。</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相关部门制定并落实公办幼儿园收费标准，制定并落实普惠性民办幼儿园收费办法。</w:t>
            </w:r>
          </w:p>
        </w:tc>
        <w:tc>
          <w:tcPr>
            <w:tcW w:w="1723" w:type="dxa"/>
            <w:noWrap w:val="0"/>
            <w:vAlign w:val="center"/>
          </w:tcPr>
          <w:p>
            <w:pPr>
              <w:snapToGrid w:val="0"/>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产业经济局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财政局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C14.幼儿园收费标准根据社会经济发展水平动态调整。</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相关部门建立了收费标准动态调整机制，实现</w:t>
            </w:r>
            <w:r>
              <w:rPr>
                <w:rFonts w:hint="default" w:ascii="Times New Roman" w:hAnsi="Times New Roman" w:cs="Times New Roman"/>
                <w:sz w:val="24"/>
                <w:szCs w:val="24"/>
              </w:rPr>
              <w:t>规范调整收费标准且依法依规收取费用</w:t>
            </w:r>
            <w:r>
              <w:rPr>
                <w:rFonts w:hint="default" w:ascii="Times New Roman" w:hAnsi="Times New Roman" w:cs="Times New Roman"/>
                <w:kern w:val="0"/>
                <w:sz w:val="24"/>
                <w:szCs w:val="24"/>
              </w:rPr>
              <w:t>。</w:t>
            </w:r>
          </w:p>
        </w:tc>
        <w:tc>
          <w:tcPr>
            <w:tcW w:w="1723" w:type="dxa"/>
            <w:noWrap w:val="0"/>
            <w:vAlign w:val="center"/>
          </w:tcPr>
          <w:p>
            <w:pPr>
              <w:snapToGrid w:val="0"/>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产业经济局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财政局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C15.各类幼儿园无不合理收费。</w:t>
            </w:r>
          </w:p>
        </w:tc>
        <w:tc>
          <w:tcPr>
            <w:tcW w:w="7245"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color w:val="000000"/>
                <w:sz w:val="24"/>
                <w:szCs w:val="24"/>
              </w:rPr>
              <w:t>各类幼儿园除收取保教费、住宿费及按规定收取的服务性收费、代收费外，无其它违规收费；没有跨学期预收费现象；没有关于幼儿园不合理收费的有效投诉。在实地督导评估过程中没有发现明显违反相关政策规定的现象。</w:t>
            </w:r>
          </w:p>
        </w:tc>
        <w:tc>
          <w:tcPr>
            <w:tcW w:w="1723" w:type="dxa"/>
            <w:noWrap w:val="0"/>
            <w:vAlign w:val="center"/>
          </w:tcPr>
          <w:p>
            <w:pPr>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公共服务局</w:t>
            </w:r>
          </w:p>
          <w:p>
            <w:pPr>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市场监管分局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restart"/>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B10.教师工资待遇有保障</w:t>
            </w: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C16.落实公办幼儿园教师工资待遇保障政策，确保教师工资及时足额发放、同工同酬。</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color w:val="000000"/>
                <w:sz w:val="24"/>
                <w:szCs w:val="24"/>
              </w:rPr>
              <w:t>制定公办幼儿园编内编外教师同工同酬相关政</w:t>
            </w:r>
            <w:r>
              <w:rPr>
                <w:rFonts w:hint="default" w:ascii="Times New Roman" w:hAnsi="Times New Roman" w:cs="Times New Roman"/>
                <w:kern w:val="0"/>
                <w:sz w:val="24"/>
                <w:szCs w:val="24"/>
              </w:rPr>
              <w:t>策措施；没有拖欠公办幼儿园教师工资的现象；依法依规足额足项为教职工缴纳社会保险和住房公积金；没有公办幼儿园教师群体关于工资待遇问题的有效投诉；县域内公办园非在编教师年平均工资收入水平与在编教师年平均工资收入水平之比不低于75%。在实地督导评估过程中没有发现明显违反相关政策规定的现象。</w:t>
            </w:r>
          </w:p>
        </w:tc>
        <w:tc>
          <w:tcPr>
            <w:tcW w:w="1723" w:type="dxa"/>
            <w:noWrap w:val="0"/>
            <w:vAlign w:val="center"/>
          </w:tcPr>
          <w:p>
            <w:pPr>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党群工作部</w:t>
            </w:r>
          </w:p>
          <w:p>
            <w:pPr>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财政局</w:t>
            </w:r>
          </w:p>
          <w:p>
            <w:pPr>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C17.</w:t>
            </w:r>
            <w:r>
              <w:rPr>
                <w:rFonts w:hint="default" w:ascii="Times New Roman" w:hAnsi="Times New Roman" w:cs="Times New Roman"/>
                <w:spacing w:val="-11"/>
                <w:kern w:val="0"/>
                <w:sz w:val="24"/>
                <w:szCs w:val="24"/>
              </w:rPr>
              <w:t>参照公办幼儿园教师工资收入水平，合理确定民办幼儿园相应教师工资收入。</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color w:val="000000"/>
                <w:sz w:val="24"/>
                <w:szCs w:val="24"/>
              </w:rPr>
              <w:t>制定保障民办幼儿园教师工资收入的相关政</w:t>
            </w:r>
            <w:r>
              <w:rPr>
                <w:rFonts w:hint="default" w:ascii="Times New Roman" w:hAnsi="Times New Roman" w:cs="Times New Roman"/>
                <w:kern w:val="0"/>
                <w:sz w:val="24"/>
                <w:szCs w:val="24"/>
              </w:rPr>
              <w:t>策措施；</w:t>
            </w:r>
            <w:r>
              <w:rPr>
                <w:rFonts w:hint="default" w:ascii="Times New Roman" w:hAnsi="Times New Roman" w:cs="Times New Roman"/>
                <w:color w:val="000000"/>
                <w:sz w:val="24"/>
                <w:szCs w:val="24"/>
              </w:rPr>
              <w:t>民办幼儿园举办者落实当地保障民办幼儿园教师工资收入有关政策情况；没有拖欠民办幼儿园教师工资的现象；依法依规足额足项为教职工缴纳社会保险和住房公积金；没有民办幼儿园教师群体关于工资待遇问题的有效投诉。</w:t>
            </w:r>
            <w:r>
              <w:rPr>
                <w:rFonts w:hint="default" w:ascii="Times New Roman" w:hAnsi="Times New Roman" w:cs="Times New Roman"/>
                <w:kern w:val="0"/>
                <w:sz w:val="24"/>
                <w:szCs w:val="24"/>
              </w:rPr>
              <w:t>在实地督导评估过程中没有发现明显违反相关政策规定的现象。</w:t>
            </w:r>
          </w:p>
        </w:tc>
        <w:tc>
          <w:tcPr>
            <w:tcW w:w="1723" w:type="dxa"/>
            <w:noWrap w:val="0"/>
            <w:vAlign w:val="center"/>
          </w:tcPr>
          <w:p>
            <w:pPr>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党群工作部</w:t>
            </w:r>
          </w:p>
          <w:p>
            <w:pPr>
              <w:snapToGrid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restart"/>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B11.安全风险防控机制健全</w:t>
            </w:r>
          </w:p>
        </w:tc>
        <w:tc>
          <w:tcPr>
            <w:tcW w:w="259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C18.落实教育、公安、生态环境、交通、住房城乡建设、卫生健康、市场监管、应急等部门对幼儿园园所、食品、卫生、校车、消防等各方面的安全监管责任。</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落实四川省人民政府办公厅《关于加强中小学幼儿园安全风险防控体系建设的实施意见》（川办发〔2018〕12号），制定当地具体实施方案，</w:t>
            </w:r>
            <w:r>
              <w:rPr>
                <w:rFonts w:hint="default" w:ascii="Times New Roman" w:hAnsi="Times New Roman" w:cs="Times New Roman"/>
                <w:sz w:val="24"/>
                <w:szCs w:val="24"/>
              </w:rPr>
              <w:t>区域安全管理联动机制健全，各部门各</w:t>
            </w:r>
            <w:r>
              <w:rPr>
                <w:rFonts w:hint="default" w:ascii="Times New Roman" w:hAnsi="Times New Roman" w:cs="Times New Roman"/>
                <w:sz w:val="24"/>
                <w:szCs w:val="24"/>
                <w:lang w:eastAsia="zh-CN"/>
              </w:rPr>
              <w:t>司</w:t>
            </w:r>
            <w:r>
              <w:rPr>
                <w:rFonts w:hint="default" w:ascii="Times New Roman" w:hAnsi="Times New Roman" w:cs="Times New Roman"/>
                <w:sz w:val="24"/>
                <w:szCs w:val="24"/>
              </w:rPr>
              <w:t>其职，并在审批、年检、日常监管中落实。幼儿园安全管理和“三防”建设普遍符合有关规定要求。</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新城建设局</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社会管理局</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应急管理分局</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公安分局</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城管分局</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市场监管分局</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消防救援大队</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安谷交警中队</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安谷镇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C19.督导评估认定前2年内无较大社会影响的安全责任事故。</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在督导评估认定前2年内，学前教育领域未出现因</w:t>
            </w:r>
            <w:r>
              <w:rPr>
                <w:rFonts w:hint="default" w:ascii="Times New Roman" w:hAnsi="Times New Roman" w:cs="Times New Roman"/>
                <w:bCs/>
                <w:kern w:val="0"/>
                <w:sz w:val="24"/>
                <w:szCs w:val="24"/>
              </w:rPr>
              <w:t>违反有关安全管理规定，而发生伤亡事故或者造成</w:t>
            </w:r>
            <w:r>
              <w:rPr>
                <w:rFonts w:hint="default" w:ascii="Times New Roman" w:hAnsi="Times New Roman" w:cs="Times New Roman"/>
                <w:kern w:val="0"/>
                <w:sz w:val="24"/>
                <w:szCs w:val="24"/>
              </w:rPr>
              <w:t>较大社会影响的安全责任事故</w:t>
            </w:r>
            <w:r>
              <w:rPr>
                <w:rFonts w:hint="default" w:ascii="Times New Roman" w:hAnsi="Times New Roman" w:cs="Times New Roman"/>
                <w:bCs/>
                <w:kern w:val="0"/>
                <w:sz w:val="24"/>
                <w:szCs w:val="24"/>
              </w:rPr>
              <w:t>。</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应急管理分局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restart"/>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B12.监管制度比较完善</w:t>
            </w: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C20.对民办幼儿园审批严格执行“先证后照”制度，完善年检制度。</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相关部门制定并严格落实民办幼儿园审批制度，各类证照齐备合格，规范执行“先证后照”和年检制度。</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市场监管分局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C21.落实幼儿园基本信息备案及公示制度。</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落实各类幼儿园基本信息备案及公示制度（网站和实地），及时向社会公布并更新幼儿园办园条件、教职工配备、收费标准、质量评估等方面信息，主动接受社会监督。</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C22.建立3—5年一轮覆盖所有幼儿园的办园行为督导评估制度。</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落实《四川省幼儿园办园行为督导评估实施办法》和《四川省人民政府教育督导委员会办公室关于开展第二轮幼儿园办园行为督导评估工作的通知》，原则上确保3年一个督导评估周期内对辖区内幼儿园（班、点）办园行为至少进行一次督导评估。幼儿园办园行为督导评估工作已开展一年以上，至少有一年的县级督导评估报告。</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C23.幼儿园责任督学挂牌督导制度落实到位。</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建立健全幼儿园责任督学挂牌督导制度，县域内所有幼儿园实现责任督学挂牌督导全覆盖。</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C24.全面完成无证园治理工作。</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全面完成无证园排查、分类、扶持和治理工作；县域内全面消除无证园。实地督导评估时未发现1所无证园。</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C25.民办幼儿园没有上市、过度逐利等行为。</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加强营利性幼儿园备案、审核、审批工作，开展民办园上市情况和过度逐利情况的摸底排查。</w:t>
            </w:r>
            <w:r>
              <w:rPr>
                <w:rFonts w:hint="default" w:ascii="Times New Roman" w:hAnsi="Times New Roman" w:cs="Times New Roman"/>
                <w:kern w:val="0"/>
                <w:sz w:val="24"/>
                <w:szCs w:val="24"/>
              </w:rPr>
              <w:t>民办幼儿园没有单独或作为一部分资产打包上市，且无过度逐利行为现象。</w:t>
            </w:r>
          </w:p>
        </w:tc>
        <w:tc>
          <w:tcPr>
            <w:tcW w:w="1723" w:type="dxa"/>
            <w:noWrap w:val="0"/>
            <w:vAlign w:val="center"/>
          </w:tcPr>
          <w:p>
            <w:pPr>
              <w:snapToGrid w:val="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市场监管分局</w:t>
            </w:r>
          </w:p>
          <w:p>
            <w:pPr>
              <w:snapToGrid w:val="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财政局</w:t>
            </w:r>
          </w:p>
          <w:p>
            <w:pPr>
              <w:snapToGrid w:val="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1010" w:type="dxa"/>
            <w:vMerge w:val="restart"/>
            <w:noWrap w:val="0"/>
            <w:vAlign w:val="center"/>
          </w:tcPr>
          <w:p>
            <w:pPr>
              <w:widowControl/>
              <w:snapToGrid w:val="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A3.幼儿园保教质量情况</w:t>
            </w:r>
          </w:p>
        </w:tc>
        <w:tc>
          <w:tcPr>
            <w:tcW w:w="1160" w:type="dxa"/>
            <w:vMerge w:val="restart"/>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B13.办园条件合格</w:t>
            </w: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C26.幼儿园园舍条件、玩教具和幼儿图书配备普遍达到规定要求。</w:t>
            </w:r>
          </w:p>
        </w:tc>
        <w:tc>
          <w:tcPr>
            <w:tcW w:w="72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幼儿园园舍条件普遍符合国家和省定规范标准。幼儿园设施设备、装备配备普遍达到四川省《幼儿园教育装备规范》（DB51T 1433—2021）要求，其中“活动室设施设备器材配备”中必配设施设备器材（13种），配置种类达到100%；“幼儿园玩教具园配要求”和“幼儿园玩教具班配要求”中最少必配玩教具（园配最少92种，班配最少大班91种、中班95种、小班85种，混合班比照中班配备标准执行），配备种类不低于85%，鼓励教师自制玩教具；幼儿用桌、椅、床分别满足1位/人；幼儿生均图书≥5册。</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财政局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p>
            <w:pPr>
              <w:snapToGrid w:val="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C27.2017年后规划设计的幼儿园符合《幼儿园建设标准》。</w:t>
            </w:r>
          </w:p>
        </w:tc>
        <w:tc>
          <w:tcPr>
            <w:tcW w:w="72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24"/>
                <w:szCs w:val="24"/>
              </w:rPr>
            </w:pPr>
            <w:r>
              <w:rPr>
                <w:rFonts w:hint="default" w:ascii="Times New Roman" w:hAnsi="Times New Roman" w:cs="Times New Roman"/>
                <w:spacing w:val="0"/>
                <w:sz w:val="24"/>
                <w:szCs w:val="24"/>
              </w:rPr>
              <w:t>2017年后规划设计的幼儿园均符合建标175-2016《幼儿园建设标准》</w:t>
            </w:r>
            <w:r>
              <w:rPr>
                <w:rFonts w:hint="default" w:ascii="Times New Roman" w:hAnsi="Times New Roman" w:cs="Times New Roman"/>
                <w:spacing w:val="0"/>
                <w:kern w:val="0"/>
                <w:sz w:val="24"/>
                <w:szCs w:val="24"/>
              </w:rPr>
              <w:t>，其中“室外游戏场地生均面积”</w:t>
            </w:r>
            <w:r>
              <w:rPr>
                <w:rFonts w:hint="default" w:ascii="Times New Roman" w:hAnsi="Times New Roman" w:eastAsia="东文宋体" w:cs="Times New Roman"/>
                <w:spacing w:val="0"/>
                <w:kern w:val="0"/>
                <w:sz w:val="24"/>
                <w:szCs w:val="24"/>
              </w:rPr>
              <w:t>≥</w:t>
            </w:r>
            <w:r>
              <w:rPr>
                <w:rFonts w:hint="default" w:ascii="Times New Roman" w:hAnsi="Times New Roman" w:cs="Times New Roman"/>
                <w:spacing w:val="0"/>
                <w:kern w:val="0"/>
                <w:sz w:val="24"/>
                <w:szCs w:val="24"/>
              </w:rPr>
              <w:t xml:space="preserve">4平方米；“幼儿活动用房生均建筑面积” </w:t>
            </w:r>
            <w:r>
              <w:rPr>
                <w:rFonts w:hint="default" w:ascii="Times New Roman" w:hAnsi="Times New Roman" w:eastAsia="东文宋体" w:cs="Times New Roman"/>
                <w:spacing w:val="0"/>
                <w:kern w:val="0"/>
                <w:sz w:val="24"/>
                <w:szCs w:val="24"/>
              </w:rPr>
              <w:t>≥</w:t>
            </w:r>
            <w:r>
              <w:rPr>
                <w:rFonts w:hint="default" w:ascii="Times New Roman" w:hAnsi="Times New Roman" w:cs="Times New Roman"/>
                <w:spacing w:val="0"/>
                <w:kern w:val="0"/>
                <w:sz w:val="24"/>
                <w:szCs w:val="24"/>
              </w:rPr>
              <w:t>8.17平方米；“生均建筑面积</w:t>
            </w:r>
            <w:r>
              <w:rPr>
                <w:rFonts w:hint="default" w:ascii="Times New Roman" w:hAnsi="Times New Roman" w:eastAsia="东文宋体" w:cs="Times New Roman"/>
                <w:spacing w:val="0"/>
                <w:kern w:val="0"/>
                <w:sz w:val="24"/>
                <w:szCs w:val="24"/>
              </w:rPr>
              <w:t>≥</w:t>
            </w:r>
            <w:r>
              <w:rPr>
                <w:rFonts w:hint="default" w:ascii="Times New Roman" w:hAnsi="Times New Roman" w:cs="Times New Roman"/>
                <w:spacing w:val="0"/>
                <w:kern w:val="0"/>
                <w:sz w:val="24"/>
                <w:szCs w:val="24"/>
              </w:rPr>
              <w:t>10.44平方米。2017年前规划设计的幼儿园三个面积指标达标的幼儿园所数县域内须分别达到50%以上，未达标的要有计划方案通过改扩建或者减少招生人数等措施达标。</w:t>
            </w:r>
          </w:p>
        </w:tc>
        <w:tc>
          <w:tcPr>
            <w:tcW w:w="1723" w:type="dxa"/>
            <w:noWrap w:val="0"/>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新城建设局</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B14.班额普</w:t>
            </w:r>
            <w:r>
              <w:rPr>
                <w:rFonts w:hint="default" w:ascii="Times New Roman" w:hAnsi="Times New Roman" w:cs="Times New Roman"/>
                <w:kern w:val="0"/>
                <w:sz w:val="24"/>
                <w:szCs w:val="24"/>
              </w:rPr>
              <w:t>遍达标</w:t>
            </w:r>
          </w:p>
        </w:tc>
        <w:tc>
          <w:tcPr>
            <w:tcW w:w="259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C28.县域内85%以上的班额符合《幼儿园工作规程》有关规定。</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县域内幼儿园符合《幼儿园工作规程》规定的不超过小班25人、中班30人、大班35人、混合班30人的班额数量达到85%以上。</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restart"/>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B15.教师配足配齐</w:t>
            </w:r>
          </w:p>
        </w:tc>
        <w:tc>
          <w:tcPr>
            <w:tcW w:w="259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C29.</w:t>
            </w:r>
            <w:r>
              <w:rPr>
                <w:rFonts w:hint="default" w:ascii="Times New Roman" w:hAnsi="Times New Roman" w:cs="Times New Roman"/>
                <w:spacing w:val="-11"/>
                <w:kern w:val="0"/>
                <w:sz w:val="24"/>
                <w:szCs w:val="24"/>
              </w:rPr>
              <w:t>按《幼儿园教职工配备标准（暂行）》配足配齐各类幼儿园教职工。</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按照《幼儿园教职工配备标准（暂行）》，全日制幼儿园每班配备2名专任教师和1名保育员；农村地区单班教学点配备2名专任教师。以幼儿园为单位，教职工配备普遍达到职工与幼儿比不低于1:7、保教人员与幼儿比不低于1:9的规定要求。</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党群工作部</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C30.公办幼儿园没有“有编不补”的情况。</w:t>
            </w:r>
          </w:p>
        </w:tc>
        <w:tc>
          <w:tcPr>
            <w:tcW w:w="72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将有限的编制资源重点用于保障专业教师和重点核心岗位人员的引进，在实地督导评估过程中没有发现“有编不补”的情况，如有空编，须有补充使用的计划。</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党群工作部</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C31.县域内幼儿园专任教师总数与在园幼儿总数之比不低于1:15。</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依据最新教育事业统计数据测算，必须达到此标准为达标。</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党群工作部</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restart"/>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B16.教师管理制度严格</w:t>
            </w: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C32.建立健全幼儿园教师资格准入制度和定期注册制度，全面落实幼儿园教师持教师资格证上岗制度。</w:t>
            </w:r>
          </w:p>
        </w:tc>
        <w:tc>
          <w:tcPr>
            <w:tcW w:w="7245" w:type="dxa"/>
            <w:noWrap w:val="0"/>
            <w:vAlign w:val="center"/>
          </w:tcPr>
          <w:p>
            <w:pPr>
              <w:snapToGrid w:val="0"/>
              <w:jc w:val="left"/>
              <w:rPr>
                <w:rFonts w:hint="default" w:ascii="Times New Roman" w:hAnsi="Times New Roman" w:cs="Times New Roman"/>
                <w:sz w:val="24"/>
                <w:szCs w:val="24"/>
              </w:rPr>
            </w:pPr>
            <w:r>
              <w:rPr>
                <w:rFonts w:hint="default" w:ascii="Times New Roman" w:hAnsi="Times New Roman" w:cs="Times New Roman"/>
                <w:sz w:val="24"/>
                <w:szCs w:val="24"/>
              </w:rPr>
              <w:t>建立并落实幼儿园教师资格准入和定期注册制度。县域内幼儿园园长、专任教师持证上岗率100%。（转入学前教育的中小学富余教师，须经过幼儿教师转岗培训合格）</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党群工作部</w:t>
            </w:r>
          </w:p>
          <w:p>
            <w:pPr>
              <w:snapToGrid w:val="0"/>
              <w:jc w:val="center"/>
              <w:rPr>
                <w:rFonts w:hint="default" w:ascii="Times New Roman" w:hAnsi="Times New Roman" w:cs="Times New Roman"/>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C33.落实幼儿园（含民办）园长、教师定期培训和全员轮训制度。</w:t>
            </w:r>
          </w:p>
        </w:tc>
        <w:tc>
          <w:tcPr>
            <w:tcW w:w="7245" w:type="dxa"/>
            <w:noWrap w:val="0"/>
            <w:vAlign w:val="center"/>
          </w:tcPr>
          <w:p>
            <w:pPr>
              <w:snapToGrid w:val="0"/>
              <w:jc w:val="left"/>
              <w:rPr>
                <w:rFonts w:hint="default" w:ascii="Times New Roman" w:hAnsi="Times New Roman" w:cs="Times New Roman"/>
                <w:sz w:val="24"/>
                <w:szCs w:val="24"/>
              </w:rPr>
            </w:pPr>
            <w:r>
              <w:rPr>
                <w:rFonts w:hint="default" w:ascii="Times New Roman" w:hAnsi="Times New Roman" w:cs="Times New Roman"/>
                <w:bCs/>
                <w:sz w:val="24"/>
                <w:szCs w:val="24"/>
              </w:rPr>
              <w:t>对县域内各级各类幼儿园的园长、保教人员定期进行培训和全员轮训，做到培训、轮训全覆盖且有制度、有经费保障、有实效。</w:t>
            </w:r>
          </w:p>
        </w:tc>
        <w:tc>
          <w:tcPr>
            <w:tcW w:w="1723" w:type="dxa"/>
            <w:noWrap w:val="0"/>
            <w:vAlign w:val="center"/>
          </w:tcPr>
          <w:p>
            <w:pPr>
              <w:snapToGrid w:val="0"/>
              <w:jc w:val="center"/>
              <w:rPr>
                <w:rFonts w:hint="default" w:ascii="Times New Roman" w:hAnsi="Times New Roman" w:cs="Times New Roman"/>
                <w:bCs/>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C34.加强师德师风建设，幼儿园普遍建立师德教育、考评、奖惩机制。</w:t>
            </w:r>
          </w:p>
        </w:tc>
        <w:tc>
          <w:tcPr>
            <w:tcW w:w="7245" w:type="dxa"/>
            <w:noWrap w:val="0"/>
            <w:vAlign w:val="center"/>
          </w:tcPr>
          <w:p>
            <w:pPr>
              <w:snapToGrid w:val="0"/>
              <w:jc w:val="left"/>
              <w:rPr>
                <w:rFonts w:hint="default" w:ascii="Times New Roman" w:hAnsi="Times New Roman" w:cs="Times New Roman"/>
                <w:sz w:val="24"/>
                <w:szCs w:val="24"/>
              </w:rPr>
            </w:pPr>
            <w:r>
              <w:rPr>
                <w:rFonts w:hint="default" w:ascii="Times New Roman" w:hAnsi="Times New Roman" w:cs="Times New Roman"/>
                <w:kern w:val="0"/>
                <w:sz w:val="24"/>
                <w:szCs w:val="24"/>
              </w:rPr>
              <w:t>将师德师风建设贯彻教师管理全过程，师德教育摆在教师培养首位；将师德表现作为教师考核、聘任（聘用）和评优的首要内容；师德监督由学校、教师、学生、家长、社会全面参与；强化教师地位、权利保护、尊师教育、各方联动，营造尊师重教氛围。</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党群工作部</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vMerge w:val="continue"/>
            <w:noWrap w:val="0"/>
            <w:vAlign w:val="center"/>
          </w:tcPr>
          <w:p>
            <w:pPr>
              <w:snapToGrid w:val="0"/>
              <w:jc w:val="center"/>
              <w:rPr>
                <w:rFonts w:hint="default" w:ascii="Times New Roman" w:hAnsi="Times New Roman" w:cs="Times New Roman"/>
                <w:color w:val="000000"/>
                <w:kern w:val="0"/>
                <w:sz w:val="24"/>
                <w:szCs w:val="24"/>
              </w:rPr>
            </w:pP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C35.督导评估认定前2年内没有发生严重的师德师风事件。</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在督导评估认定前2年内，学前教育领域未发生因师德失范、触犯法律等受到开除处分的严重师德师风事件。</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公安分局</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jc w:val="center"/>
        </w:trPr>
        <w:tc>
          <w:tcPr>
            <w:tcW w:w="1010" w:type="dxa"/>
            <w:vMerge w:val="continue"/>
            <w:noWrap w:val="0"/>
            <w:vAlign w:val="center"/>
          </w:tcPr>
          <w:p>
            <w:pPr>
              <w:widowControl/>
              <w:snapToGrid w:val="0"/>
              <w:jc w:val="center"/>
              <w:rPr>
                <w:rFonts w:hint="default" w:ascii="Times New Roman" w:hAnsi="Times New Roman" w:cs="Times New Roman"/>
                <w:bCs/>
                <w:kern w:val="0"/>
                <w:sz w:val="24"/>
                <w:szCs w:val="24"/>
              </w:rPr>
            </w:pPr>
          </w:p>
        </w:tc>
        <w:tc>
          <w:tcPr>
            <w:tcW w:w="1160" w:type="dxa"/>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B17.落实科学保教要求</w:t>
            </w: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C36.县域内幼儿园落实《幼儿园工作规程》《幼儿园教育指导纲要》和《3—6岁儿童学习与发展指南》的规定，以游戏为基本活动，无“小学化”现象。</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幼儿园按规定创设多种活动区域（区角）；提供充足的符合幼儿年龄特点的玩教具、游戏材料、图画书；没有提前教授汉语拼音、识字、计算、英语等小学课程内容；没有以课堂集中授课方式为主组织安排一日活动；没有以机械背诵、记忆、抄写、计算等方式进行知识技能性强化训练的行为；没有对幼儿园“小学化”问题的有效投诉；督导组在实地督导过程中没有发现明显违反相关政策规定的现象。</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010" w:type="dxa"/>
            <w:noWrap w:val="0"/>
            <w:vAlign w:val="center"/>
          </w:tcPr>
          <w:p>
            <w:pPr>
              <w:widowControl/>
              <w:snapToGrid w:val="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A4.社会认可度情况</w:t>
            </w:r>
          </w:p>
        </w:tc>
        <w:tc>
          <w:tcPr>
            <w:tcW w:w="1160" w:type="dxa"/>
            <w:noWrap w:val="0"/>
            <w:vAlign w:val="center"/>
          </w:tcPr>
          <w:p>
            <w:pPr>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B18.开展社会认可度调查</w:t>
            </w:r>
          </w:p>
        </w:tc>
        <w:tc>
          <w:tcPr>
            <w:tcW w:w="259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C37.社会认可度须高于85%。</w:t>
            </w:r>
          </w:p>
        </w:tc>
        <w:tc>
          <w:tcPr>
            <w:tcW w:w="7245" w:type="dxa"/>
            <w:noWrap w:val="0"/>
            <w:vAlign w:val="center"/>
          </w:tcPr>
          <w:p>
            <w:pPr>
              <w:snapToGri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通过国家调查平台，对包括家长、教职工、园长、人大代表、政协委员等群体开展学前教育社会认可度调查，满意度达到85%以上。</w:t>
            </w:r>
          </w:p>
        </w:tc>
        <w:tc>
          <w:tcPr>
            <w:tcW w:w="1723" w:type="dxa"/>
            <w:noWrap w:val="0"/>
            <w:vAlign w:val="center"/>
          </w:tcPr>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融媒体中心</w:t>
            </w:r>
          </w:p>
          <w:p>
            <w:pPr>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公共服务局</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rPr>
      </w:pPr>
    </w:p>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东文宋体">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MDZjMjBjMDIzNGYyNTI3NDRlYTIwZTE0N2M4YzMifQ=="/>
  </w:docVars>
  <w:rsids>
    <w:rsidRoot w:val="6795397D"/>
    <w:rsid w:val="6795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2024-04-03T02:57:00Z</dcterms:created>
  <dc:creator>程鹏颖</dc:creator>
  <cp:lastModifiedBy>程鹏颖</cp:lastModifiedBy>
  <dcterms:modified xsi:type="dcterms:W3CDTF">2024-04-03T02:58:55Z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D921B29EEBD94EBF97044368DA71565F_11</vt:lpwstr>
  </property>
</Properties>
</file>