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hint="default" w:hAnsi="仿宋_GB2312" w:eastAsia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</w:t>
      </w:r>
      <w:bookmarkStart w:id="0" w:name="_Hlk121054431"/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1</w:t>
      </w:r>
    </w:p>
    <w:bookmarkEnd w:id="0"/>
    <w:p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乐山高新区“无废城市”建设评价指标体系</w:t>
      </w:r>
    </w:p>
    <w:bookmarkEnd w:id="1"/>
    <w:p>
      <w:pPr>
        <w:pStyle w:val="5"/>
        <w:rPr>
          <w:rFonts w:hint="eastAsia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396"/>
        <w:gridCol w:w="1515"/>
        <w:gridCol w:w="4369"/>
        <w:gridCol w:w="2236"/>
        <w:gridCol w:w="1796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现状值（2020年）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目标值（2025年）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0"/>
                <w:szCs w:val="20"/>
              </w:rPr>
              <w:t>数据来源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9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固体废物源头减量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工业源头减量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一般工业固体废物产生强度★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吨/万元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吨/万元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、产业经济发展局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工业危险废物产生强度★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038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吨/万元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0036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吨/万元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、产业经济发展局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通过清洁生产审核评估工业企业占比★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国家级和省级绿色制造示范单位数量</w:t>
            </w:r>
          </w:p>
        </w:tc>
        <w:tc>
          <w:tcPr>
            <w:tcW w:w="78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产业经济发展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碳排放强度降低幅度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农业源头减量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畜禽规模养殖场粪污处理设备配套率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建筑业源头减量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绿色建筑占新建建筑的比例★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新城建设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工业绿色建筑占比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新城建设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9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固体废物资源化利用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工业固体废物资源化利用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一般工业固体废物综合利用率★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77.6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工业危险废物综合利用率★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51.5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农业固体废物资源化利用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秸秆综合利用率★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91.5%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畜禽粪污综合利用率★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农膜回收率★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综合执法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生活领域固体废物资源化利用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生活垃圾回收利用率★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34.23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新城建设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医疗卫生机构可回收物回收率★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49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固体废物最终处置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危险废物处置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医疗废物收集处置体系覆盖率★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社会源危险废物收集处置体系覆盖率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一般工业固体废物贮存处置量下降幅度</w:t>
            </w:r>
          </w:p>
        </w:tc>
        <w:tc>
          <w:tcPr>
            <w:tcW w:w="154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一般工业固体废物贮存处置量下降幅度★</w:t>
            </w:r>
          </w:p>
        </w:tc>
        <w:tc>
          <w:tcPr>
            <w:tcW w:w="78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4.9%</w:t>
            </w:r>
          </w:p>
        </w:tc>
        <w:tc>
          <w:tcPr>
            <w:tcW w:w="78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生活领域固体废物处置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生活垃圾焚烧处理能力占比★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新城建设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城镇污水污泥无害化处置率★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9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保障能力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制度体系建设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“无废城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”建设协调机制★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成立乐山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高新区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“无废城市”建设工作领导小组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负责“无废城市”建设的相关部门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“无废城市”建设成效纳入政绩考核情况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“无废城市”建设成效纳入政绩考核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党工委办公室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开展“无废城市”细胞建设的单位数量（机关、企事业单位、饭店、商场、集贸市场、社区、村镇）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各相关部门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市场体系建设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“无废城市”建设项目投资总额★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＞50000万元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生态环境分局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纳入企业环境信用评价范围的固体废物相关企业数量占比（危险废物、一般固体废物处置企业）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54.5%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监管体系建设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固体废物管理信息化监管情况★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（1）危险废物：产废单位全部接入监管平台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（2）医疗废物：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医疗机构接入监管平台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完善固体废物管理信息化监管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公共服务局、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危险废物规范化管理抽查合格率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产废单位100%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经营单位100%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产废单位100%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经营单位100%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固体废物环境污染刑事案件立案率★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公安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局、生态环境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涉固体废物信访、投诉、举报案件办结率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固体废物环境污染案件开展生态环境损害赔偿工作的案件办理率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符合生态环境损害赔偿条件的固体废物环境污染案件及时办理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生态环境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9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群众获得感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群众获得感</w:t>
            </w: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“无废城市”建设宣传教育培训普及率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第三方调查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政府、企事业单位、非政府环境组织、公众对“无废城市”建设的参与程度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第三方调查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9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0"/>
                <w:szCs w:val="20"/>
              </w:rPr>
              <w:t>公众对无废城市建设成效的满意程度★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78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第三方调查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663271DB"/>
    <w:rsid w:val="22BC2B0B"/>
    <w:rsid w:val="663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widowControl/>
      <w:spacing w:after="200" w:line="276" w:lineRule="auto"/>
      <w:ind w:left="200" w:leftChars="200" w:hanging="200" w:hangingChars="200"/>
      <w:jc w:val="left"/>
    </w:pPr>
    <w:rPr>
      <w:rFonts w:ascii="Calibri" w:hAnsi="Calibr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2023-07-21T06:30:00Z</dcterms:created>
  <dc:creator>小小四 </dc:creator>
  <cp:lastModifiedBy>小小四 </cp:lastModifiedBy>
  <dcterms:modified xsi:type="dcterms:W3CDTF">2023-07-21T06:31:03Z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48B26B6BF2BD4B7084AC25AD3E64B43F_13</vt:lpwstr>
  </property>
</Properties>
</file>