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附件2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山高新区“无废城市”建设任务清单</w:t>
      </w:r>
    </w:p>
    <w:bookmarkEnd w:id="2"/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Hlk121054613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制度体系建设</w:t>
      </w:r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重点任务及进度清单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00"/>
        <w:gridCol w:w="5780"/>
        <w:gridCol w:w="2328"/>
        <w:gridCol w:w="1764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6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任务清单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主要内容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牵头单位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配合单位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1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成立乐山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“无废城市”建设工作领导小组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成立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党工委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书记、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管委会主任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任双组长，相关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领导为副组长，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相关部门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负责同志为成员的工作领导小组，统筹推进“无废城市”建设工作。领导小组办公室设在生态环境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局，负责领导小组日常工作。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党工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委办公室、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管委会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办公室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/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建立“无废城市”建设协调机制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成立“无废城市”建设工作专班，理清各相关部门职责，强化责任担当，密切协作配合，形成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横向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联动、齐抓共管、合力推进的工作格局。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“无废城市”建设工作领导小组办公室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长期推进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3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建立“无废城市”建设部门责任清单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相关部门责任和重点工作任务清单，并组织落实。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“无废城市”建设工作领导小组办公室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4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建立“无废城市”建设工作年度目标考核机制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根据“无废城市”建设实施方案，制定年度目标任务，将具体工作纳入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级相关部门的年度目标考核，确保各项任务落地见效。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“无废城市”建设工作领导小组办公室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严格生态环境准入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  <w:t>将“无废城市”建设纳入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eastAsia="zh-CN"/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  <w:t>工业发展的各类专项规划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，将工业固体废物的综合利用处置纳入“三线一单”生态环境准入的资源绩效管理要求和地方招商准入条件，强化固体废物领域的生态环境准入管理。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6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探索园区低碳循环发展，积极推动绿色零碳园区创建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逐步有序开展生态工业园区建设、循环化改造、绿色园区建设。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生态环境分局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有序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7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制定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农业固体废弃物综合利用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计划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结合实际编制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乐山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农业固体废弃物综合利用规划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方案和计划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逐年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提升农业固废废物资源化、无害化利用水平。 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/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严格薄膜市场准入条件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严格监管农资市场，禁止销售和使用不符合国家标准的农膜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/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9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研究制定绿色生活方式行为指南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引导公众形成绿色低碳、文明健康的生活方式和消费模式，积淀绿色生活文化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“无废城市”建设工作领导小组办公室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建立生活垃圾分类和回收利用制度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形成全民参与、城乡统筹的生活垃圾分类方式，完善生活垃圾回收利用体制机制，制定生活垃圾分类和回收利用相关指导意见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新城建设局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领导小组各成员单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位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完善废旧家电回收处理渠道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鼓励家电销售企业完善废旧家电回收处理和以旧换新渠道，畅通家电生产消费回收处理全产业链条。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、新城建设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市场监管分局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危险废物专项整治行动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开展专项整治行动，严厉打击危险废物非法转移和倾倒等行为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公共服务局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、公安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建立健全危险废物联防联控机制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建立</w:t>
            </w:r>
            <w:r>
              <w:rPr>
                <w:rFonts w:hint="eastAsia"/>
                <w:sz w:val="24"/>
                <w:szCs w:val="24"/>
                <w:lang w:eastAsia="zh-CN"/>
              </w:rPr>
              <w:t>环保</w:t>
            </w:r>
            <w:r>
              <w:rPr>
                <w:rFonts w:hint="eastAsia"/>
                <w:sz w:val="24"/>
                <w:szCs w:val="24"/>
              </w:rPr>
              <w:t>、公安、</w:t>
            </w:r>
            <w:r>
              <w:rPr>
                <w:rFonts w:hint="eastAsia"/>
                <w:sz w:val="24"/>
                <w:szCs w:val="24"/>
                <w:lang w:eastAsia="zh-CN"/>
              </w:rPr>
              <w:t>建设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综合执法、城管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公共服务</w:t>
            </w:r>
            <w:r>
              <w:rPr>
                <w:rFonts w:hint="eastAsia"/>
                <w:sz w:val="24"/>
                <w:szCs w:val="24"/>
              </w:rPr>
              <w:t>、自然资源</w:t>
            </w:r>
            <w:r>
              <w:rPr>
                <w:rFonts w:hint="eastAsia"/>
                <w:sz w:val="24"/>
                <w:szCs w:val="24"/>
                <w:lang w:eastAsia="zh-CN"/>
              </w:rPr>
              <w:t>和规划</w:t>
            </w:r>
            <w:r>
              <w:rPr>
                <w:rFonts w:hint="eastAsia"/>
                <w:sz w:val="24"/>
                <w:szCs w:val="24"/>
              </w:rPr>
              <w:t>等多部门联合执法、信息共享、重大案件会商督办制度，形成监管合力。在打击危险废物非法转移、非法处置、污染事件调查、取缔非法窝点、排查安全生产隐患等方面建立合作机制，提高联合应对突发性危险废物污染事故的快速处置能力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生态环境</w:t>
            </w:r>
            <w:r>
              <w:rPr>
                <w:rFonts w:hint="eastAsia"/>
                <w:sz w:val="24"/>
                <w:szCs w:val="24"/>
                <w:lang w:eastAsia="zh-CN"/>
              </w:rPr>
              <w:t>分</w:t>
            </w:r>
            <w:r>
              <w:rPr>
                <w:rFonts w:hint="eastAsia"/>
                <w:sz w:val="24"/>
                <w:szCs w:val="24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落实跨省市转移“白名单”制度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落实《危险废物跨省市转移“白名单”合作机制》，协调利用处置危险废物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生态环境</w:t>
            </w:r>
            <w:r>
              <w:rPr>
                <w:rFonts w:hint="eastAsia"/>
                <w:sz w:val="24"/>
                <w:szCs w:val="24"/>
                <w:lang w:eastAsia="zh-CN"/>
              </w:rPr>
              <w:t>分</w:t>
            </w:r>
            <w:r>
              <w:rPr>
                <w:rFonts w:hint="eastAsia"/>
                <w:sz w:val="24"/>
                <w:szCs w:val="24"/>
              </w:rPr>
              <w:t>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新城建设局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15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制定“无废城市”宣传方案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通过新闻、广播电视和城市电子屏、公众号、车站等传统媒体和新媒体平台，全方位深度传播“无废城市”理念，及时公布“无废城市”建设情况，营造全社会共同参与“无废城市”建设的良好氛围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融媒体中心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公共服务</w:t>
            </w:r>
            <w:r>
              <w:rPr>
                <w:rFonts w:hint="eastAsia"/>
                <w:sz w:val="24"/>
                <w:szCs w:val="24"/>
              </w:rPr>
              <w:t>局、生态环境</w:t>
            </w:r>
            <w:r>
              <w:rPr>
                <w:rFonts w:hint="eastAsia"/>
                <w:sz w:val="24"/>
                <w:szCs w:val="24"/>
                <w:lang w:eastAsia="zh-CN"/>
              </w:rPr>
              <w:t>分</w:t>
            </w:r>
            <w:r>
              <w:rPr>
                <w:rFonts w:hint="eastAsia"/>
                <w:sz w:val="24"/>
                <w:szCs w:val="24"/>
              </w:rPr>
              <w:t>局、</w:t>
            </w:r>
            <w:r>
              <w:rPr>
                <w:rFonts w:hint="eastAsia"/>
                <w:sz w:val="24"/>
                <w:szCs w:val="24"/>
                <w:lang w:eastAsia="zh-CN"/>
              </w:rPr>
              <w:t>城管分局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新城建设</w:t>
            </w:r>
            <w:r>
              <w:rPr>
                <w:rFonts w:hint="eastAsia"/>
                <w:sz w:val="24"/>
                <w:szCs w:val="24"/>
              </w:rPr>
              <w:t>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16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推进</w:t>
            </w:r>
            <w:r>
              <w:rPr>
                <w:rFonts w:hint="eastAsia"/>
                <w:sz w:val="24"/>
                <w:szCs w:val="24"/>
              </w:rPr>
              <w:t>“无废城市细胞”建设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按照</w:t>
            </w:r>
            <w:r>
              <w:rPr>
                <w:rFonts w:hint="eastAsia"/>
                <w:sz w:val="24"/>
                <w:szCs w:val="24"/>
              </w:rPr>
              <w:t>《乐山市“无废细胞”建设指南（试行）》</w:t>
            </w:r>
            <w:r>
              <w:rPr>
                <w:rFonts w:hint="eastAsia"/>
                <w:sz w:val="24"/>
                <w:szCs w:val="24"/>
                <w:lang w:eastAsia="zh-CN"/>
              </w:rPr>
              <w:t>创建标准和评估指标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加快</w:t>
            </w:r>
            <w:r>
              <w:rPr>
                <w:rFonts w:hint="eastAsia"/>
                <w:sz w:val="24"/>
                <w:szCs w:val="24"/>
              </w:rPr>
              <w:t>“无废城市”细胞建设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“无废城市”建设工作领导小组办公室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17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推进“无废城市”项目建设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各成员单位</w:t>
            </w:r>
            <w:r>
              <w:rPr>
                <w:rFonts w:hint="eastAsia"/>
                <w:sz w:val="24"/>
                <w:szCs w:val="24"/>
              </w:rPr>
              <w:t>积极谋划、申报、实施工业固体废弃物收集处置、建筑垃圾综合利用、农业废弃物收集与利用处置等建设项目，以项目实施推动实现“无废城市”建设目标。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生态环境</w:t>
            </w:r>
            <w:r>
              <w:rPr>
                <w:rFonts w:hint="eastAsia"/>
                <w:sz w:val="24"/>
                <w:szCs w:val="24"/>
                <w:lang w:eastAsia="zh-CN"/>
              </w:rPr>
              <w:t>分</w:t>
            </w:r>
            <w:r>
              <w:rPr>
                <w:rFonts w:hint="eastAsia"/>
                <w:sz w:val="24"/>
                <w:szCs w:val="24"/>
              </w:rPr>
              <w:t>局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新城建设局、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综合执法局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领导小组各成员单位按照职责分工落实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技术体系建设重点任务及进度清单</w:t>
      </w:r>
    </w:p>
    <w:tbl>
      <w:tblPr>
        <w:tblStyle w:val="4"/>
        <w:tblW w:w="51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18"/>
        <w:gridCol w:w="5979"/>
        <w:gridCol w:w="1557"/>
        <w:gridCol w:w="2282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  <w:t>序号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  <w:t>任务内容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  <w:t>预期性目标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  <w:t>牵头单位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  <w:t>配合单位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1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提升一般工业固体废物资源化综合利用水平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推进固体废物的资源化综合利用，进一步拓宽建筑材料生产、原料替代等综合利用渠道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科技局、生态环境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新城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建设局、自然资源规划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发展种养结合，推进循环农业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大力推广绿色“种养循环”农业模式，加快推进畜禽粪污资源化利用项目，形成养殖户、服务组织和种植主体紧密衔接的绿色循环农业发展方式。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3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提升农业固体废物资源化利用水平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利用农业废弃物生产生物质燃料等可再生能源，提升生态农业碳汇能力，带动上游产业协同降碳。全面推进面源综合治理项目等畜禽粪污集中处置项目建设，推进畜禽养殖粪污的专业化处理和资源化利用。鼓励并支持秸秆能源化、基料化、肥料化等综合利用示范项目。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/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4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推广侧模栽培、实时揭膜、一膜多用等薄膜替代技术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减少农用薄膜使用量，从源头减少废弃农膜产生。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/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5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探索生活污泥处理途径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在生活垃圾焚烧处理和水泥窑协同处置的基础上，探索推进生活污泥干化制砖、建材利用、大型燃煤锅炉协同处置等污泥处置利用新途径。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新城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建设局</w:t>
            </w:r>
          </w:p>
        </w:tc>
        <w:tc>
          <w:tcPr>
            <w:tcW w:w="7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/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6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完善绿色建筑标准体系建设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大力推动绿色建造关键核心技术攻关及产业化应用推动形成研发、材料和部件生产、设计、施工、资源回收再利用等一体化协同的绿色建造产业链，逐步建立和完善覆盖工程建设全生命周期的绿色建造标准体系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。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新城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建设局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产业经济发展局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7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危险废物多途径综合利用技术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鼓励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产废企业对自身产生的危险废物进行综合利用，积极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提升危险废物综合利用水平。 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局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产业经济发展局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公共服务局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、科技局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持续推动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市场体系建设重点任务及进度清单</w:t>
      </w:r>
    </w:p>
    <w:tbl>
      <w:tblPr>
        <w:tblStyle w:val="4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62"/>
        <w:gridCol w:w="6098"/>
        <w:gridCol w:w="2087"/>
        <w:gridCol w:w="18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任务清单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牵头单位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配合单位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引进再生资源综合利用企业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根据自身产废情况针对性引进再生资源利用项目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补足园区固体废物循环化的缺位，串联上下游企业循环产业链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领导小组各成员单位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培育工业固体废物综合利用示范项目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采用多方参与的形式培育一般工业固体废物综合利用企业，起到引领和示范作用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探索种养循环的农业发展模式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推广绿色种养循环农业试点经验，连片建设标准化、规模化的生态循环种养基地，形成养殖场户、服务组织和种植主体紧密衔接的绿色循环农业发展模式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探索畜禽养殖废弃物综合利用模式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采取“政府引导+社会化运作+种养殖户参与”的实施机制，推行种养循环粪肥还田技术，培育粪肥还田服务组织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完善农药包装废弃物回收体系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建立农药包装废弃物回收点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建立秸秆收储运体系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建立秸秆收储运体系，鼓励乡镇成立秸秆收储中心，村组建立固定收储点，初步建立秸秆收储体系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建立薄膜回收利用体系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建立政府主导、多方参与的农膜回收体系，鼓励农资经营主体设立废旧地膜回收点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持续推进农村生活垃圾分类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引导社会资金进入农村生活垃圾分类领域，进一步完善农村生活垃圾分类设施设备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新城建设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鼓励多元化市场参与模式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促进再生资源企业向环境服务转型升级，培育企业成为“两网融合”的运营主体，探索PPP模式下政府购买服务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城管分局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引导企业建立多元废旧家电回收渠道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优化废旧家电回收网络，建立多元化回收渠道，开展废旧家电回收，交由合规企业处理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提升危险废物综合利用水平</w:t>
            </w:r>
          </w:p>
        </w:tc>
        <w:tc>
          <w:tcPr>
            <w:tcW w:w="2115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探索通过政策引导等方式，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鼓励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危险废物综合利用关键技术研发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提升危险废物综合利用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4</w:t>
      </w:r>
      <w:bookmarkStart w:id="1" w:name="_Hlk121054657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监督体系建设重点任务及进度清单</w:t>
      </w:r>
      <w:bookmarkEnd w:id="1"/>
    </w:p>
    <w:tbl>
      <w:tblPr>
        <w:tblStyle w:val="4"/>
        <w:tblW w:w="50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90"/>
        <w:gridCol w:w="5430"/>
        <w:gridCol w:w="1827"/>
        <w:gridCol w:w="2043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任务清单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建设内容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牵头单位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配合单位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提高固体废物智慧化监管水平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依托省级固体废物管理信息化平台，实现固体废物领域的智慧化管理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强化小微产废企业固体废物管理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定期开展固体废物产生、利用情况核查工作，动态掌握全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固体废物产生、贮存和利用情况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定期开展专项执法行动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全面排查整治固体废物污染环境隐患，坚决打击固体废物防治污染事件，加强执法力度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公安分局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推动田间农膜清洁化和常态化巡检监督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明确农膜使用方的责任和义务，鼓励使用机械化捡拾，推动农膜田间清洁化，由乡镇和村组落实田间巡检制度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加强生活垃圾分类收集和处置管理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明确从事分类收集、运输生活垃圾的单位应取得相应资质，实行密闭化分类收集、分类运输，严禁混收、混装、混运，依法开展收集、运输监督检查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新城建设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加强城镇生活污水处理厂污泥安全处置监督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加强城镇生活污水处理厂污泥安全处置，确保污泥安全消纳。压实压紧产生单位主体责任，严查污泥非法处置行为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加强餐厨垃圾的监管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加强对餐厨垃圾的流向的监管，减少餐厨垃圾黑市流转、乱排乱倒等非法问题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局、市场监管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加强施工现场建筑垃圾监管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加强施工现场建筑垃圾分类、收集、统计、再利用和无害化处置等监管力度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新城建设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加强危险废物全过程管理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加强对危险废物重点产生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的监管，按要求开展危险废物规范化环境管理评估，全面提升危险废物规范化环境管理水平，有效防控危险废物环境风险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公共服务局、新城建设局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加强固体废物环境污染监管执法力度</w:t>
            </w:r>
          </w:p>
        </w:tc>
        <w:tc>
          <w:tcPr>
            <w:tcW w:w="189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实压紧属地责任宣贯固体废物法律法规，健全生态环境保护行政执法和刑事司法衔接工作机制，积极开展环境信访案件和突出环境问题检查，加大对环境违法犯罪案件的办理力度，严厉打击涉固体废物环境污染违法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公共服务局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64F06DEB"/>
    <w:rsid w:val="64F0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2023-07-21T06:31:00Z</dcterms:created>
  <dc:creator>小小四 </dc:creator>
  <cp:lastModifiedBy>小小四 </cp:lastModifiedBy>
  <dcterms:modified xsi:type="dcterms:W3CDTF">2023-07-21T06:31:56Z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02B96B3BE6454EEAB8E2C698745FFE18_11</vt:lpwstr>
  </property>
</Properties>
</file>