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1" w:name="_GoBack"/>
      <w:bookmarkStart w:id="0" w:name="_Toc11926059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乐山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“无废城市”建设重点项目清单</w:t>
      </w:r>
      <w:bookmarkEnd w:id="0"/>
    </w:p>
    <w:bookmarkEnd w:id="1"/>
    <w:tbl>
      <w:tblPr>
        <w:tblStyle w:val="4"/>
        <w:tblW w:w="140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0"/>
        <w:gridCol w:w="720"/>
        <w:gridCol w:w="555"/>
        <w:gridCol w:w="720"/>
        <w:gridCol w:w="3990"/>
        <w:gridCol w:w="1110"/>
        <w:gridCol w:w="1005"/>
        <w:gridCol w:w="915"/>
        <w:gridCol w:w="1395"/>
        <w:gridCol w:w="1317"/>
        <w:gridCol w:w="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建设批次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建设地址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预计总投资（亿元）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项目业主单位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项目责任单位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业主单位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、联系人及联系电话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、联系人及联系电话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乐山国家高新区智慧停车场及配套设施项目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重大基础设施项目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加快开工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乐山高新区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新建13个停车场（4个停车楼，9个地面停车场），共4205个停车位，总占地面积96470平方米。根据每个停车场条件建设充电桩，共建设421个充电桩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 new roman" w:hAnsi="time new roman" w:eastAsia="仿宋_GB2312"/>
                <w:color w:val="000000"/>
                <w:sz w:val="24"/>
                <w:szCs w:val="24"/>
              </w:rPr>
              <w:t>乐山高新创新科技发展集团有限公司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新城建设局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胡俊林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15082203002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15983383399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乐山市第二污水处理厂二期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重大基础设施项目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加快开工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乐山高新区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扩建污水处理能力5万吨/天，配套建设污水主管网约13.5千米、提污泵站2座。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 new roman" w:hAnsi="time new roman" w:eastAsia="仿宋_GB2312"/>
                <w:color w:val="000000"/>
                <w:sz w:val="24"/>
                <w:szCs w:val="24"/>
                <w:lang w:val="en-US" w:eastAsia="zh-CN"/>
              </w:rPr>
              <w:t>乐山高新投资发展（集团）有限公司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新城建设局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乐山高新区园区工业污水处理厂及配套管网（一期）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重大基础设施项目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加快开工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乐山高新区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建工业污水处理厂一座，日处理能力40000立方米，新建厂外配套管网及提升泵站工程21772m、一级处理池3200立方米、生物池16200立方米、二沉池10400立方米、高密沉淀池2800立方米、反硝化深床滤池及接触消毒池3600立方米、配电间及柴油发电间1200㎡、污水脱泥间1600㎡、加药间1200。㎡、机修间1480㎡、鼓风机房1230㎡及其他配套设施.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 new roman" w:hAnsi="time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 new roman" w:hAnsi="time new roman" w:eastAsia="仿宋_GB2312"/>
                <w:color w:val="000000"/>
                <w:sz w:val="24"/>
                <w:szCs w:val="24"/>
              </w:rPr>
              <w:t>乐山高发展企业经营管理有限公司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产业经济发展局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精锐报废资源循环利用项目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加快开工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乐山高新区龙口路1118 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租用东风智能配套产业园标准厂房约30000m2（9#、10#、12#和20#厂房），对报废机动车进行拆解。项目分两期建设（9#、10#、12#厂房为一期，20#厂房为二期），目前东风智能配套产业园一期标准厂房（1#~13#厂房）已建成，可供本项目一期工程建设；二期标准厂房（14#~23#厂房）暂未开始建设，待其二期标准厂房建成后，开始建设本项目二期工程。项目每期拆解报废机动车总量为16000辆/年，其中大型车2500辆/年，中型车2000辆/年，小型车10000辆/年，摩托车500辆/年，电动车1000辆/年，最终达到拆解报废机动车总量为32000辆/年的工作能力。项目仅对机动车进行拆解，不涉及废钢材、废塑料加工，不涉及电池拆解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 new roman" w:hAnsi="time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 new roman" w:hAnsi="time new roman" w:eastAsia="仿宋_GB2312"/>
                <w:color w:val="000000"/>
                <w:sz w:val="24"/>
                <w:szCs w:val="24"/>
              </w:rPr>
              <w:t>四川精锐报废资源循环利用有限公司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易兰15681308288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30E04AFD"/>
    <w:rsid w:val="30E0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2023-07-21T06:32:00Z</dcterms:created>
  <dc:creator>小小四 </dc:creator>
  <cp:lastModifiedBy>小小四 </cp:lastModifiedBy>
  <dcterms:modified xsi:type="dcterms:W3CDTF">2023-07-21T06:32:27Z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41D5CD7E2D8344DF9F1236079A49E006_11</vt:lpwstr>
  </property>
</Properties>
</file>