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F77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  <w:lang w:eastAsia="zh-CN"/>
        </w:rPr>
        <w:t>乐山高新区加快服务业高质量发展支持政策</w:t>
      </w:r>
    </w:p>
    <w:p w14:paraId="3125D5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right="0"/>
        <w:jc w:val="center"/>
        <w:rPr>
          <w:rFonts w:hint="eastAsia" w:ascii="Times New Roman" w:hAnsi="Times New Roman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5"/>
          <w:sz w:val="32"/>
          <w:szCs w:val="32"/>
          <w:lang w:val="en-US" w:eastAsia="zh-CN"/>
        </w:rPr>
        <w:t>征求意见稿</w:t>
      </w:r>
      <w:r>
        <w:rPr>
          <w:rFonts w:hint="eastAsia" w:ascii="Times New Roman" w:hAnsi="Times New Roman" w:eastAsia="仿宋_GB2312" w:cs="仿宋_GB2312"/>
          <w:spacing w:val="5"/>
          <w:sz w:val="32"/>
          <w:szCs w:val="32"/>
          <w:lang w:eastAsia="zh-CN"/>
        </w:rPr>
        <w:t>）</w:t>
      </w:r>
    </w:p>
    <w:p w14:paraId="3F2F26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right="0"/>
        <w:jc w:val="both"/>
        <w:rPr>
          <w:rFonts w:hint="eastAsia" w:ascii="Times New Roman" w:hAnsi="Times New Roman" w:eastAsia="仿宋_GB2312" w:cs="仿宋_GB2312"/>
          <w:spacing w:val="5"/>
          <w:sz w:val="32"/>
          <w:szCs w:val="32"/>
          <w:lang w:eastAsia="zh-CN"/>
        </w:rPr>
      </w:pPr>
      <w:bookmarkStart w:id="0" w:name="_GoBack"/>
      <w:bookmarkEnd w:id="0"/>
    </w:p>
    <w:p w14:paraId="7CB112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64" w:firstLineChars="200"/>
        <w:jc w:val="both"/>
        <w:rPr>
          <w:lang w:eastAsia="zh-CN"/>
        </w:rPr>
      </w:pPr>
      <w:r>
        <w:rPr>
          <w:spacing w:val="6"/>
          <w:lang w:eastAsia="zh-CN"/>
        </w:rPr>
        <w:t>为加快构建全区现代服务业发展体系，进一步推动服</w:t>
      </w:r>
      <w:r>
        <w:rPr>
          <w:spacing w:val="5"/>
          <w:lang w:eastAsia="zh-CN"/>
        </w:rPr>
        <w:t>务业高质量发展，</w:t>
      </w:r>
      <w:r>
        <w:rPr>
          <w:rFonts w:hint="eastAsia"/>
          <w:spacing w:val="5"/>
          <w:lang w:val="en-US" w:eastAsia="zh-CN"/>
        </w:rPr>
        <w:t>深入贯彻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《商务部等</w:t>
      </w:r>
      <w:r>
        <w:rPr>
          <w:rFonts w:hint="eastAsia" w:ascii="仿宋_GB2312" w:hAnsi="仿宋_GB2312" w:cs="仿宋_GB2312"/>
          <w:spacing w:val="5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部门印发</w:t>
      </w:r>
      <w:r>
        <w:rPr>
          <w:rFonts w:hint="eastAsia" w:ascii="仿宋_GB2312" w:hAnsi="仿宋_GB2312" w:cs="仿宋_GB2312"/>
          <w:spacing w:val="5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关于扩大服务消费的若干政策措施</w:t>
      </w:r>
      <w:r>
        <w:rPr>
          <w:rFonts w:hint="eastAsia" w:ascii="仿宋_GB2312" w:hAnsi="仿宋_GB2312" w:cs="仿宋_GB2312"/>
          <w:spacing w:val="5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的通知》</w:t>
      </w:r>
      <w:r>
        <w:rPr>
          <w:rFonts w:hint="eastAsia" w:ascii="仿宋_GB2312" w:hAnsi="仿宋_GB2312" w:cs="仿宋_GB2312"/>
          <w:spacing w:val="5"/>
          <w:lang w:val="en-US" w:eastAsia="zh-CN"/>
        </w:rPr>
        <w:t>、</w:t>
      </w:r>
      <w:r>
        <w:rPr>
          <w:rFonts w:hint="eastAsia"/>
          <w:spacing w:val="5"/>
          <w:lang w:val="en-US" w:eastAsia="zh-CN"/>
        </w:rPr>
        <w:t>《四川省人民政府办公厅印发&lt;关于进一步推动经济运行回升向好的若干政策措施&gt;》（川办规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〔</w:t>
      </w:r>
      <w:r>
        <w:rPr>
          <w:rFonts w:hint="eastAsia" w:ascii="仿宋_GB2312" w:hAnsi="仿宋_GB2312" w:cs="仿宋_GB2312"/>
          <w:spacing w:val="5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〕</w:t>
      </w:r>
      <w:r>
        <w:rPr>
          <w:rFonts w:hint="eastAsia" w:ascii="仿宋_GB2312" w:hAnsi="仿宋_GB2312" w:cs="仿宋_GB2312"/>
          <w:spacing w:val="5"/>
          <w:lang w:val="en-US" w:eastAsia="zh-CN"/>
        </w:rPr>
        <w:t>3号</w:t>
      </w:r>
      <w:r>
        <w:rPr>
          <w:rFonts w:hint="eastAsia"/>
          <w:spacing w:val="5"/>
          <w:lang w:val="en-US" w:eastAsia="zh-CN"/>
        </w:rPr>
        <w:t>）、《乐山市经济和信息化局 乐山市财政局 乐山市住房和城乡建设局 乐山市商务局 乐山市市场监督管理局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关于印发</w:t>
      </w:r>
      <w:r>
        <w:rPr>
          <w:rFonts w:hint="eastAsia" w:ascii="仿宋_GB2312" w:hAnsi="仿宋_GB2312" w:cs="仿宋_GB2312"/>
          <w:spacing w:val="5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支持“转企升规”十五条政策措施</w:t>
      </w:r>
      <w:r>
        <w:rPr>
          <w:rFonts w:hint="eastAsia" w:ascii="仿宋_GB2312" w:hAnsi="仿宋_GB2312" w:cs="仿宋_GB2312"/>
          <w:spacing w:val="5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的通知</w:t>
      </w:r>
      <w:r>
        <w:rPr>
          <w:rFonts w:hint="eastAsia" w:ascii="仿宋_GB2312" w:hAnsi="仿宋_GB2312" w:cs="仿宋_GB2312"/>
          <w:spacing w:val="5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（乐市经信〔2022〕237号）</w:t>
      </w:r>
      <w:r>
        <w:rPr>
          <w:rFonts w:hint="eastAsia" w:ascii="仿宋_GB2312" w:hAnsi="仿宋_GB2312" w:cs="仿宋_GB2312"/>
          <w:spacing w:val="5"/>
          <w:lang w:val="en-US" w:eastAsia="zh-CN"/>
        </w:rPr>
        <w:t>等文件精神，</w:t>
      </w:r>
      <w:r>
        <w:rPr>
          <w:spacing w:val="5"/>
          <w:lang w:eastAsia="zh-CN"/>
        </w:rPr>
        <w:t>结合高新区实际，制定如下支持政策。</w:t>
      </w:r>
    </w:p>
    <w:p w14:paraId="0386D4D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600" w:lineRule="exact"/>
        <w:ind w:left="0" w:leftChars="0" w:right="0" w:firstLine="680" w:firstLineChars="200"/>
        <w:jc w:val="both"/>
        <w:rPr>
          <w:rFonts w:hint="eastAsia" w:ascii="黑体" w:hAnsi="黑体" w:eastAsia="黑体" w:cs="黑体"/>
          <w:spacing w:val="-11"/>
        </w:rPr>
      </w:pPr>
      <w:r>
        <w:rPr>
          <w:rFonts w:hint="eastAsia" w:ascii="黑体" w:hAnsi="黑体" w:eastAsia="黑体" w:cs="黑体"/>
          <w:spacing w:val="10"/>
          <w:lang w:eastAsia="zh-CN"/>
        </w:rPr>
        <w:t>一、</w:t>
      </w:r>
      <w:r>
        <w:rPr>
          <w:rFonts w:hint="eastAsia" w:ascii="黑体" w:hAnsi="黑体" w:eastAsia="黑体" w:cs="黑体"/>
          <w:spacing w:val="-11"/>
          <w:lang w:eastAsia="zh-CN"/>
        </w:rPr>
        <w:t>支持</w:t>
      </w:r>
      <w:r>
        <w:rPr>
          <w:rFonts w:ascii="黑体" w:hAnsi="黑体" w:eastAsia="黑体" w:cs="黑体"/>
          <w:spacing w:val="-11"/>
        </w:rPr>
        <w:t>“个转企”</w:t>
      </w:r>
    </w:p>
    <w:p w14:paraId="65E227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right="0" w:firstLine="648" w:firstLineChars="200"/>
        <w:jc w:val="both"/>
        <w:rPr>
          <w:rFonts w:ascii="Times New Roman" w:hAnsi="Times New Roman" w:eastAsia="仿宋_GB2312" w:cs="仿宋_GB2312"/>
          <w:color w:val="auto"/>
          <w:spacing w:val="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2"/>
          <w:sz w:val="32"/>
          <w:szCs w:val="32"/>
          <w:lang w:val="en-US" w:eastAsia="zh-CN" w:bidi="ar-SA"/>
        </w:rPr>
        <w:t>（一）“个转企”财税会计服务支持。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eastAsia="zh-CN"/>
        </w:rPr>
        <w:t>对完成“个转企”的新企业，向其提供财税会计服务一次性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val="en-US" w:eastAsia="zh-CN"/>
        </w:rPr>
        <w:t>定额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eastAsia="zh-CN"/>
        </w:rPr>
        <w:t>补贴1万元。</w:t>
      </w:r>
    </w:p>
    <w:p w14:paraId="64DB8D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right="0" w:firstLine="648" w:firstLineChars="200"/>
        <w:jc w:val="both"/>
        <w:rPr>
          <w:rFonts w:ascii="Times New Roman" w:hAnsi="Times New Roman" w:eastAsia="仿宋_GB2312" w:cs="仿宋_GB2312"/>
          <w:color w:val="auto"/>
          <w:spacing w:val="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2"/>
          <w:sz w:val="32"/>
          <w:szCs w:val="32"/>
          <w:lang w:val="en-US" w:eastAsia="zh-CN" w:bidi="ar-SA"/>
        </w:rPr>
        <w:t>（二）“个转企”稳岗奖励。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eastAsia="zh-CN"/>
        </w:rPr>
        <w:t>对完成“个转企”、且依法参加社会保险并按规定缴纳社会保险费的新企业，自转型企业当年起，连续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eastAsia="zh-CN"/>
        </w:rPr>
        <w:t>年按不高于企业所承担社会保险费（不含企业职工个人应缴部分）的80％的标准给予企业稳岗奖励，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val="en-US" w:eastAsia="zh-CN"/>
        </w:rPr>
        <w:t>每户企业每年补贴不超过2万元</w:t>
      </w:r>
      <w:r>
        <w:rPr>
          <w:rFonts w:hint="eastAsia" w:ascii="Times New Roman" w:hAnsi="Times New Roman" w:eastAsia="仿宋_GB2312" w:cs="仿宋_GB2312"/>
          <w:color w:val="auto"/>
          <w:spacing w:val="4"/>
          <w:sz w:val="32"/>
          <w:szCs w:val="32"/>
          <w:lang w:eastAsia="zh-CN"/>
        </w:rPr>
        <w:t>。该奖励资金与企业吸纳就业困难人员、脱贫劳动力、高校毕业生等重点群体社会保险补贴可同时享受。</w:t>
      </w:r>
    </w:p>
    <w:p w14:paraId="26BA264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600" w:lineRule="exact"/>
        <w:ind w:left="0" w:right="0" w:firstLine="680" w:firstLineChars="200"/>
        <w:jc w:val="both"/>
        <w:rPr>
          <w:rFonts w:hint="eastAsia" w:ascii="黑体" w:hAnsi="黑体" w:eastAsia="黑体" w:cs="黑体"/>
          <w:spacing w:val="10"/>
          <w:lang w:eastAsia="zh-CN"/>
        </w:rPr>
      </w:pPr>
      <w:r>
        <w:rPr>
          <w:rFonts w:hint="eastAsia" w:ascii="黑体" w:hAnsi="黑体" w:eastAsia="黑体" w:cs="黑体"/>
          <w:spacing w:val="10"/>
          <w:lang w:eastAsia="zh-CN"/>
        </w:rPr>
        <w:t>支持“</w:t>
      </w:r>
      <w:r>
        <w:rPr>
          <w:rFonts w:ascii="黑体" w:hAnsi="黑体" w:eastAsia="黑体" w:cs="黑体"/>
          <w:spacing w:val="10"/>
          <w:lang w:eastAsia="zh-CN"/>
        </w:rPr>
        <w:t>升规（限）入统”</w:t>
      </w:r>
    </w:p>
    <w:p w14:paraId="2604FD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56" w:firstLineChars="200"/>
        <w:jc w:val="both"/>
        <w:rPr>
          <w:rFonts w:hint="eastAsia" w:ascii="仿宋_GB2312" w:hAnsi="仿宋_GB2312"/>
          <w:color w:val="FF0000"/>
          <w:lang w:eastAsia="zh-CN"/>
        </w:rPr>
      </w:pPr>
      <w:r>
        <w:rPr>
          <w:rFonts w:hint="eastAsia"/>
          <w:color w:val="auto"/>
          <w:spacing w:val="4"/>
          <w:lang w:eastAsia="zh-CN"/>
        </w:rPr>
        <w:t>对新纳入“限上”统计并履行统计义务的批发、零售、住宿、餐饮单位及“规上”统计并履行统计义务的服务业企业，给予7万元/户的统计平台建设补助。</w:t>
      </w:r>
      <w:r>
        <w:rPr>
          <w:rFonts w:hint="eastAsia"/>
          <w:b w:val="0"/>
          <w:bCs w:val="0"/>
          <w:color w:val="auto"/>
          <w:spacing w:val="4"/>
          <w:lang w:eastAsia="zh-CN"/>
        </w:rPr>
        <w:t>对新入库且纳入核算的服务业企业或限上社消零企业（单位），在库满2年且运营稳定的，再一次性奖励3万元。</w:t>
      </w:r>
    </w:p>
    <w:p w14:paraId="4BB65746">
      <w:pPr>
        <w:keepNext w:val="0"/>
        <w:keepLines w:val="0"/>
        <w:pageBreakBefore w:val="0"/>
        <w:widowControl w:val="0"/>
        <w:tabs>
          <w:tab w:val="center" w:pos="4366"/>
        </w:tabs>
        <w:kinsoku/>
        <w:wordWrap/>
        <w:overflowPunct/>
        <w:topLinePunct w:val="0"/>
        <w:bidi w:val="0"/>
        <w:adjustRightInd/>
        <w:spacing w:line="600" w:lineRule="exact"/>
        <w:ind w:left="0" w:right="0" w:firstLine="656" w:firstLineChars="200"/>
        <w:jc w:val="both"/>
        <w:outlineLvl w:val="0"/>
        <w:rPr>
          <w:rFonts w:hint="eastAsia" w:ascii="黑体" w:hAnsi="黑体" w:eastAsia="黑体" w:cs="黑体"/>
          <w:color w:val="auto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eastAsia="zh-CN"/>
        </w:rPr>
        <w:t>三、支持服务业企业上档升级、做大做强</w:t>
      </w:r>
    </w:p>
    <w:p w14:paraId="1250E4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48" w:firstLineChars="200"/>
        <w:jc w:val="both"/>
        <w:rPr>
          <w:rFonts w:hint="eastAsia" w:ascii="仿宋_GB2312" w:hAnsi="仿宋_GB2312" w:eastAsia="仿宋_GB2312" w:cs="仿宋_GB2312"/>
          <w:spacing w:val="1"/>
          <w:lang w:eastAsia="zh-CN"/>
        </w:rPr>
      </w:pPr>
      <w:r>
        <w:rPr>
          <w:rFonts w:hint="eastAsia" w:ascii="楷体_GB2312" w:hAnsi="楷体_GB2312" w:eastAsia="楷体_GB2312" w:cs="楷体_GB2312"/>
          <w:spacing w:val="2"/>
          <w:lang w:eastAsia="zh-CN"/>
        </w:rPr>
        <w:t>（一）对服务业企业上档升级实施奖励。</w:t>
      </w:r>
      <w:r>
        <w:rPr>
          <w:rFonts w:hint="eastAsia" w:ascii="仿宋_GB2312" w:hAnsi="仿宋_GB2312" w:eastAsia="仿宋_GB2312" w:cs="仿宋_GB2312"/>
          <w:spacing w:val="2"/>
          <w:lang w:eastAsia="zh-CN"/>
        </w:rPr>
        <w:t>在高新区设立独立法人资格、纳入“规上”“限上”统计并履行统计义务的年销售额首次达</w:t>
      </w:r>
      <w:r>
        <w:rPr>
          <w:rFonts w:hint="eastAsia" w:ascii="仿宋_GB2312" w:hAnsi="仿宋_GB2312" w:eastAsia="仿宋_GB2312" w:cs="仿宋_GB2312"/>
          <w:spacing w:val="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pacing w:val="2"/>
          <w:lang w:eastAsia="zh-CN"/>
        </w:rPr>
        <w:t>万元、</w:t>
      </w:r>
      <w:r>
        <w:rPr>
          <w:rFonts w:hint="eastAsia" w:ascii="仿宋_GB2312" w:hAnsi="仿宋_GB2312" w:eastAsia="仿宋_GB2312" w:cs="仿宋_GB2312"/>
          <w:spacing w:val="2"/>
          <w:lang w:val="en-US" w:eastAsia="zh-CN"/>
        </w:rPr>
        <w:t>5000万</w:t>
      </w:r>
      <w:r>
        <w:rPr>
          <w:rFonts w:hint="eastAsia" w:ascii="仿宋_GB2312" w:hAnsi="仿宋_GB2312" w:eastAsia="仿宋_GB2312" w:cs="仿宋_GB2312"/>
          <w:spacing w:val="2"/>
          <w:lang w:eastAsia="zh-CN"/>
        </w:rPr>
        <w:t>元、</w:t>
      </w:r>
      <w:r>
        <w:rPr>
          <w:rFonts w:hint="eastAsia" w:ascii="仿宋_GB2312" w:hAnsi="仿宋_GB2312" w:eastAsia="仿宋_GB2312" w:cs="仿宋_GB2312"/>
          <w:spacing w:val="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2"/>
          <w:lang w:eastAsia="zh-CN"/>
        </w:rPr>
        <w:t>亿元以上的</w:t>
      </w:r>
      <w:r>
        <w:rPr>
          <w:rFonts w:hint="eastAsia" w:ascii="仿宋_GB2312" w:hAnsi="仿宋_GB2312" w:eastAsia="仿宋_GB2312" w:cs="仿宋_GB2312"/>
          <w:spacing w:val="-1"/>
          <w:lang w:val="en-US" w:eastAsia="zh-CN"/>
        </w:rPr>
        <w:t>服务业</w:t>
      </w:r>
      <w:r>
        <w:rPr>
          <w:rFonts w:hint="eastAsia" w:ascii="仿宋_GB2312" w:hAnsi="仿宋_GB2312" w:eastAsia="仿宋_GB2312" w:cs="仿宋_GB2312"/>
          <w:spacing w:val="-1"/>
          <w:lang w:eastAsia="zh-CN"/>
        </w:rPr>
        <w:t>企业，</w:t>
      </w:r>
      <w:r>
        <w:rPr>
          <w:rFonts w:hint="eastAsia" w:ascii="仿宋_GB2312" w:hAnsi="仿宋_GB2312" w:eastAsia="仿宋_GB2312" w:cs="仿宋_GB2312"/>
          <w:spacing w:val="2"/>
          <w:lang w:eastAsia="zh-CN"/>
        </w:rPr>
        <w:t>年销售额首次达</w:t>
      </w:r>
      <w:r>
        <w:rPr>
          <w:rFonts w:hint="eastAsia" w:ascii="仿宋_GB2312" w:hAnsi="仿宋_GB2312" w:eastAsia="仿宋_GB2312" w:cs="仿宋_GB2312"/>
          <w:spacing w:val="2"/>
          <w:lang w:val="en-US" w:eastAsia="zh-CN"/>
        </w:rPr>
        <w:t>1亿</w:t>
      </w:r>
      <w:r>
        <w:rPr>
          <w:rFonts w:hint="eastAsia" w:ascii="仿宋_GB2312" w:hAnsi="仿宋_GB2312" w:eastAsia="仿宋_GB2312" w:cs="仿宋_GB2312"/>
          <w:spacing w:val="2"/>
          <w:lang w:eastAsia="zh-CN"/>
        </w:rPr>
        <w:t>元、5亿元、10亿元以上的</w:t>
      </w:r>
      <w:r>
        <w:rPr>
          <w:rFonts w:hint="eastAsia" w:ascii="仿宋_GB2312" w:hAnsi="仿宋_GB2312" w:eastAsia="仿宋_GB2312" w:cs="仿宋_GB2312"/>
          <w:spacing w:val="-1"/>
          <w:lang w:eastAsia="zh-CN"/>
        </w:rPr>
        <w:t>批发企业，年销售额首次达</w:t>
      </w:r>
      <w:r>
        <w:rPr>
          <w:rFonts w:hint="eastAsia" w:ascii="仿宋_GB2312" w:hAnsi="仿宋_GB2312" w:eastAsia="仿宋_GB2312" w:cs="仿宋_GB2312"/>
          <w:spacing w:val="2"/>
          <w:lang w:eastAsia="zh-CN"/>
        </w:rPr>
        <w:t>2000万元、1亿元、2亿元</w:t>
      </w:r>
      <w:r>
        <w:rPr>
          <w:rFonts w:hint="eastAsia" w:ascii="仿宋_GB2312" w:hAnsi="仿宋_GB2312" w:eastAsia="仿宋_GB2312" w:cs="仿宋_GB2312"/>
          <w:spacing w:val="-1"/>
          <w:lang w:eastAsia="zh-CN"/>
        </w:rPr>
        <w:t>以上的零售企业，年销售额</w:t>
      </w:r>
      <w:r>
        <w:rPr>
          <w:rFonts w:hint="eastAsia" w:ascii="仿宋_GB2312" w:hAnsi="仿宋_GB2312" w:eastAsia="仿宋_GB2312" w:cs="仿宋_GB2312"/>
          <w:spacing w:val="-2"/>
          <w:lang w:eastAsia="zh-CN"/>
        </w:rPr>
        <w:t>首次达</w:t>
      </w:r>
      <w:r>
        <w:rPr>
          <w:rFonts w:hint="eastAsia" w:ascii="仿宋_GB2312" w:hAnsi="仿宋_GB2312" w:eastAsia="仿宋_GB2312" w:cs="仿宋_GB2312"/>
          <w:spacing w:val="2"/>
          <w:lang w:eastAsia="zh-CN"/>
        </w:rPr>
        <w:t>500万元、1000万元、2000万元</w:t>
      </w:r>
      <w:r>
        <w:rPr>
          <w:rFonts w:hint="eastAsia" w:ascii="仿宋_GB2312" w:hAnsi="仿宋_GB2312" w:eastAsia="仿宋_GB2312" w:cs="仿宋_GB2312"/>
          <w:spacing w:val="-2"/>
          <w:lang w:eastAsia="zh-CN"/>
        </w:rPr>
        <w:t>以上住宿餐饮企业</w:t>
      </w:r>
      <w:r>
        <w:rPr>
          <w:rFonts w:hint="eastAsia" w:ascii="仿宋_GB2312" w:hAnsi="仿宋_GB2312" w:eastAsia="仿宋_GB2312" w:cs="仿宋_GB2312"/>
          <w:spacing w:val="6"/>
          <w:lang w:eastAsia="zh-CN"/>
        </w:rPr>
        <w:t>，在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达到该标准年度</w:t>
      </w:r>
      <w:r>
        <w:rPr>
          <w:rFonts w:hint="eastAsia" w:ascii="仿宋_GB2312" w:hAnsi="仿宋_GB2312" w:eastAsia="仿宋_GB2312" w:cs="仿宋_GB2312"/>
          <w:spacing w:val="1"/>
          <w:lang w:eastAsia="zh-CN"/>
        </w:rPr>
        <w:t>的次年</w:t>
      </w:r>
      <w:r>
        <w:rPr>
          <w:rFonts w:hint="eastAsia" w:ascii="仿宋_GB2312" w:hAnsi="仿宋_GB2312" w:eastAsia="仿宋_GB2312" w:cs="仿宋_GB2312"/>
          <w:spacing w:val="1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spacing w:val="1"/>
          <w:lang w:eastAsia="zh-CN"/>
        </w:rPr>
        <w:t>给予企业</w:t>
      </w:r>
      <w:r>
        <w:rPr>
          <w:rFonts w:hint="eastAsia" w:ascii="仿宋_GB2312" w:hAnsi="仿宋_GB2312" w:eastAsia="仿宋_GB2312" w:cs="仿宋_GB2312"/>
          <w:spacing w:val="2"/>
          <w:lang w:eastAsia="zh-CN"/>
        </w:rPr>
        <w:t>10万元、20万元、30万元</w:t>
      </w:r>
      <w:r>
        <w:rPr>
          <w:rFonts w:hint="eastAsia" w:ascii="仿宋_GB2312" w:hAnsi="仿宋_GB2312" w:eastAsia="仿宋_GB2312" w:cs="仿宋_GB2312"/>
          <w:spacing w:val="2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pacing w:val="1"/>
          <w:lang w:eastAsia="zh-CN"/>
        </w:rPr>
        <w:t>奖励。同一企业最多可连续三年获得奖补。</w:t>
      </w:r>
    </w:p>
    <w:p w14:paraId="610108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48" w:firstLineChars="200"/>
        <w:jc w:val="both"/>
        <w:rPr>
          <w:rFonts w:hint="eastAsia" w:ascii="仿宋_GB2312" w:hAnsi="仿宋_GB2312" w:eastAsia="仿宋_GB2312" w:cs="仿宋_GB2312"/>
          <w:color w:val="auto"/>
          <w:lang w:eastAsia="zh-CN" w:bidi="ar"/>
        </w:rPr>
      </w:pPr>
      <w:r>
        <w:rPr>
          <w:rFonts w:hint="eastAsia" w:ascii="楷体_GB2312" w:hAnsi="楷体_GB2312" w:eastAsia="楷体_GB2312" w:cs="楷体_GB2312"/>
          <w:spacing w:val="2"/>
          <w:lang w:eastAsia="zh-CN"/>
        </w:rPr>
        <w:t>（二）对服务业企业营收增长给予奖励。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对</w:t>
      </w:r>
      <w:r>
        <w:rPr>
          <w:rFonts w:hint="eastAsia" w:ascii="仿宋_GB2312" w:hAnsi="仿宋_GB2312" w:eastAsia="仿宋_GB2312" w:cs="仿宋_GB2312"/>
          <w:spacing w:val="2"/>
          <w:lang w:eastAsia="zh-CN"/>
        </w:rPr>
        <w:t>纳入“规上”“限上”统计并履行统计义务的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年营业收入较上年新增1000万元、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000万元、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5000万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元以上的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服务业企业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，年主营业务收入较上年新增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5000万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元、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亿元、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亿元的批发企业，年主营业务收入较上年新增1000万元、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000万元、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5000万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元的零售企业，年主营业务收入较上年新增200万元、500万元、1000万元的住宿、餐饮企业，分别给予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万元、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万元、1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万元一次性奖励。</w:t>
      </w:r>
      <w:r>
        <w:rPr>
          <w:rFonts w:hint="eastAsia" w:ascii="仿宋_GB2312" w:hAnsi="仿宋_GB2312" w:eastAsia="仿宋_GB2312" w:cs="仿宋_GB2312"/>
          <w:color w:val="auto"/>
          <w:spacing w:val="1"/>
          <w:lang w:eastAsia="zh-CN"/>
        </w:rPr>
        <w:t>同一企业最多可连续三年获得奖补。</w:t>
      </w:r>
    </w:p>
    <w:p w14:paraId="1257E5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lang w:eastAsia="zh-CN" w:bidi="ar"/>
        </w:rPr>
        <w:t>既达到上档升级标准又实现营收增长的企业，按就高不重复原则享受补助。</w:t>
      </w:r>
    </w:p>
    <w:p w14:paraId="7FA9A2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48"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2"/>
          <w:sz w:val="32"/>
          <w:szCs w:val="32"/>
          <w:lang w:val="en-US" w:eastAsia="zh-CN" w:bidi="ar-SA"/>
        </w:rPr>
        <w:t>（三）鼓励限额以上商贸企业开展连锁经营。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商贸企业年度新增5个及以上连锁经营点位的，给予每个点位1万元奖励，单个企业最高不超过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万元。</w:t>
      </w:r>
    </w:p>
    <w:p w14:paraId="74655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56" w:firstLineChars="200"/>
        <w:jc w:val="both"/>
        <w:rPr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四、支持产销（主辅）分离</w:t>
      </w:r>
    </w:p>
    <w:p w14:paraId="386B7C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实现产销（主辅）分离首次入统报表一年后且运营稳定的企业，根据年度销售额每户给予一次性奖补。奖补金额按销售额的5‰进行奖补，最高不超过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万元。</w:t>
      </w:r>
    </w:p>
    <w:p w14:paraId="404553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40" w:firstLineChars="200"/>
        <w:jc w:val="both"/>
        <w:outlineLvl w:val="0"/>
        <w:rPr>
          <w:rFonts w:hint="default" w:ascii="仿宋_GB2312" w:hAnsi="宋体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 w:bidi="ar"/>
        </w:rPr>
        <w:t>该条与上档升级按照就高不重复原则享受补助。</w:t>
      </w:r>
    </w:p>
    <w:p w14:paraId="758B5E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56" w:firstLineChars="200"/>
        <w:jc w:val="both"/>
        <w:rPr>
          <w:rFonts w:hint="eastAsia" w:ascii="黑体" w:hAnsi="黑体" w:eastAsia="黑体" w:cs="黑体"/>
          <w:color w:val="auto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eastAsia="zh-CN"/>
        </w:rPr>
        <w:t>、鼓励电商产业发展</w:t>
      </w:r>
    </w:p>
    <w:p w14:paraId="7EBA3A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（一）激励电商企业及园区提升示范层级。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对于获得国家电子商务示范基地、四川电子商务示范单位、乐山电子商务示范单位等荣誉的电商企业和园区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，分别给予30万、20万元、10万元一次性激励。</w:t>
      </w:r>
    </w:p>
    <w:p w14:paraId="49737A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（二）鼓励企业邀请网络主播开展直播带货活动。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对邀请平台粉丝量50万以上的主播开展直播带货活动，且年带货量超1000万、3000万、5000万元以上的，给予企业活动投入30%的激励，最高分别不超过10万、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 w14:paraId="33B431B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56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eastAsia="zh-CN"/>
        </w:rPr>
        <w:t>、支持消费场景改造提升</w:t>
      </w:r>
    </w:p>
    <w:p w14:paraId="22E4193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（一）新建、改建商业综合体激励。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支持新建、改建城市商业综合体。对新建商业建筑面积2万平方米以上的商业综合体，且商铺开业率达到60％以上的商业设施，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按面积大小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给予投资主体100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-200万元一次性激励。对改建商业建筑面积1万平方米以上，且商铺开业率达到60％以上的老旧商业设施，按改建面积大小给予投资主体50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-100万元一次性激励。</w:t>
      </w:r>
    </w:p>
    <w:p w14:paraId="23A918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（二）消费场景运营激励。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支持打造多业态融合的消费新场景。获评省、市级消费新场景的，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分别给予每个场景20万元、10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万元一次性激励。</w:t>
      </w:r>
    </w:p>
    <w:p w14:paraId="7CDC6C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60" w:firstLineChars="200"/>
        <w:jc w:val="both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eastAsia="zh-CN"/>
        </w:rPr>
        <w:t>（三）鼓励发展“首店、品牌”经济。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鼓励国际国内知名品牌或其授权代理商在高新区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核心商圈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开设首店及乐山总店，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对新入驻首店或乐山总店给予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次性激励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67F6D5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56" w:firstLineChars="200"/>
        <w:jc w:val="both"/>
        <w:rPr>
          <w:rFonts w:hint="eastAsia" w:ascii="黑体" w:hAnsi="黑体" w:eastAsia="黑体" w:cs="黑体"/>
          <w:color w:val="auto"/>
          <w:spacing w:val="4"/>
          <w:lang w:eastAsia="zh-CN"/>
        </w:rPr>
      </w:pPr>
      <w:r>
        <w:rPr>
          <w:rFonts w:hint="eastAsia" w:ascii="黑体" w:hAnsi="黑体" w:eastAsia="黑体" w:cs="黑体"/>
          <w:color w:val="auto"/>
          <w:spacing w:val="4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pacing w:val="4"/>
          <w:lang w:eastAsia="zh-CN"/>
        </w:rPr>
        <w:t>、支持培育外贸综合服务平台企业</w:t>
      </w:r>
    </w:p>
    <w:p w14:paraId="73FCB5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64" w:firstLineChars="200"/>
        <w:jc w:val="both"/>
        <w:rPr>
          <w:rFonts w:hint="eastAsia" w:ascii="仿宋_GB2312" w:hAnsi="仿宋_GB2312" w:eastAsia="仿宋_GB2312" w:cs="仿宋_GB2312"/>
          <w:spacing w:val="6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lang w:eastAsia="zh-CN"/>
        </w:rPr>
        <w:t>对区内设立的外贸综合服务平台企业，根据其服务企业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>数量、</w:t>
      </w:r>
      <w:r>
        <w:rPr>
          <w:rFonts w:hint="eastAsia" w:ascii="仿宋_GB2312" w:hAnsi="仿宋_GB2312" w:eastAsia="仿宋_GB2312" w:cs="仿宋_GB2312"/>
          <w:spacing w:val="6"/>
          <w:lang w:eastAsia="zh-CN"/>
        </w:rPr>
        <w:t>服务企业进出口额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pacing w:val="6"/>
          <w:lang w:eastAsia="zh-CN"/>
        </w:rPr>
        <w:t>等业务开展成效给予奖励，单个平台企业</w:t>
      </w:r>
      <w:r>
        <w:rPr>
          <w:rFonts w:hint="eastAsia" w:ascii="仿宋_GB2312" w:hAnsi="仿宋_GB2312" w:cs="仿宋_GB2312"/>
          <w:spacing w:val="6"/>
          <w:lang w:val="en-US" w:eastAsia="zh-CN"/>
        </w:rPr>
        <w:t>每</w:t>
      </w:r>
      <w:r>
        <w:rPr>
          <w:rFonts w:hint="eastAsia" w:ascii="仿宋_GB2312" w:hAnsi="仿宋_GB2312" w:eastAsia="仿宋_GB2312" w:cs="仿宋_GB2312"/>
          <w:spacing w:val="6"/>
          <w:lang w:eastAsia="zh-CN"/>
        </w:rPr>
        <w:t>年奖励总额不超过50万元。</w:t>
      </w:r>
    </w:p>
    <w:p w14:paraId="7B8AD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600" w:lineRule="exact"/>
        <w:ind w:left="0" w:right="0" w:firstLine="644" w:firstLineChars="200"/>
        <w:jc w:val="both"/>
        <w:rPr>
          <w:rFonts w:hint="eastAsia" w:ascii="黑体" w:hAnsi="黑体" w:eastAsia="黑体" w:cs="黑体"/>
          <w:color w:val="auto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eastAsia="zh-CN"/>
        </w:rPr>
        <w:t>实施二手车销售奖励</w:t>
      </w:r>
    </w:p>
    <w:p w14:paraId="48471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600" w:lineRule="exact"/>
        <w:ind w:left="0" w:right="0" w:firstLine="644" w:firstLineChars="200"/>
        <w:jc w:val="both"/>
        <w:rPr>
          <w:rFonts w:ascii="黑体" w:hAnsi="黑体" w:eastAsia="黑体" w:cs="黑体"/>
          <w:spacing w:val="17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对符合条件的二手车经销企业，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在年销售额较上年保持增长的情况下，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按其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二手车销售额的0.5％给予奖励，单户企业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最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高给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eastAsia="zh-CN"/>
        </w:rPr>
        <w:t>万元。</w:t>
      </w:r>
    </w:p>
    <w:p w14:paraId="7173AB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708" w:firstLineChars="200"/>
        <w:jc w:val="both"/>
        <w:rPr>
          <w:rFonts w:hint="eastAsia" w:ascii="黑体" w:hAnsi="黑体" w:eastAsia="黑体" w:cs="黑体"/>
          <w:spacing w:val="17"/>
          <w:lang w:eastAsia="zh-CN"/>
        </w:rPr>
      </w:pPr>
      <w:r>
        <w:rPr>
          <w:rFonts w:hint="eastAsia" w:ascii="黑体" w:hAnsi="黑体" w:eastAsia="黑体" w:cs="黑体"/>
          <w:spacing w:val="17"/>
          <w:lang w:val="en-US" w:eastAsia="zh-CN"/>
        </w:rPr>
        <w:t>九、</w:t>
      </w:r>
      <w:r>
        <w:rPr>
          <w:rFonts w:ascii="黑体" w:hAnsi="黑体" w:eastAsia="黑体" w:cs="黑体"/>
          <w:spacing w:val="17"/>
          <w:lang w:eastAsia="zh-CN"/>
        </w:rPr>
        <w:t>附则</w:t>
      </w:r>
    </w:p>
    <w:p w14:paraId="7D7AA6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708" w:firstLineChars="200"/>
        <w:jc w:val="both"/>
        <w:rPr>
          <w:lang w:eastAsia="zh-CN"/>
        </w:rPr>
      </w:pPr>
      <w:r>
        <w:rPr>
          <w:spacing w:val="17"/>
          <w:lang w:eastAsia="zh-CN"/>
        </w:rPr>
        <w:t>本支持政策适用于在乐山高新区注册并依法纳税的</w:t>
      </w:r>
      <w:r>
        <w:rPr>
          <w:spacing w:val="-2"/>
          <w:lang w:eastAsia="zh-CN"/>
        </w:rPr>
        <w:t>从事服务业的企业、组织。</w:t>
      </w:r>
      <w:r>
        <w:rPr>
          <w:spacing w:val="7"/>
          <w:lang w:eastAsia="zh-CN"/>
        </w:rPr>
        <w:t>凡当年发生</w:t>
      </w:r>
      <w:r>
        <w:rPr>
          <w:rFonts w:hint="eastAsia"/>
          <w:spacing w:val="7"/>
          <w:lang w:val="en-US" w:eastAsia="zh-CN"/>
        </w:rPr>
        <w:t>较大及以上</w:t>
      </w:r>
      <w:r>
        <w:rPr>
          <w:spacing w:val="7"/>
          <w:lang w:eastAsia="zh-CN"/>
        </w:rPr>
        <w:t>安全事故、重大环境污染事故、严重违法违规行为、严重失信行为的企业，</w:t>
      </w:r>
      <w:r>
        <w:rPr>
          <w:spacing w:val="8"/>
          <w:lang w:eastAsia="zh-CN"/>
        </w:rPr>
        <w:t>不得享受上述政策。</w:t>
      </w:r>
    </w:p>
    <w:p w14:paraId="7227C0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64" w:firstLineChars="200"/>
        <w:jc w:val="both"/>
        <w:rPr>
          <w:lang w:eastAsia="zh-CN"/>
        </w:rPr>
      </w:pPr>
      <w:r>
        <w:rPr>
          <w:spacing w:val="6"/>
          <w:lang w:eastAsia="zh-CN"/>
        </w:rPr>
        <w:t>本支持政策按照就高不重复享受同一类型支持政策的原则执行。若本支持政策与中央、省、市出台的相关政策有</w:t>
      </w:r>
      <w:r>
        <w:rPr>
          <w:rFonts w:hint="eastAsia"/>
          <w:spacing w:val="6"/>
          <w:lang w:val="en-US" w:eastAsia="zh-CN"/>
        </w:rPr>
        <w:t>重叠的</w:t>
      </w:r>
      <w:r>
        <w:rPr>
          <w:spacing w:val="6"/>
          <w:lang w:eastAsia="zh-CN"/>
        </w:rPr>
        <w:t>，</w:t>
      </w:r>
      <w:r>
        <w:rPr>
          <w:rFonts w:hint="eastAsia"/>
          <w:spacing w:val="6"/>
          <w:lang w:val="en-US" w:eastAsia="zh-CN"/>
        </w:rPr>
        <w:t>按就高标准执行</w:t>
      </w:r>
      <w:r>
        <w:rPr>
          <w:rFonts w:hint="eastAsia"/>
          <w:spacing w:val="6"/>
          <w:lang w:eastAsia="zh-CN"/>
        </w:rPr>
        <w:t>；</w:t>
      </w:r>
      <w:r>
        <w:rPr>
          <w:spacing w:val="6"/>
          <w:lang w:eastAsia="zh-CN"/>
        </w:rPr>
        <w:t>如</w:t>
      </w:r>
      <w:r>
        <w:rPr>
          <w:rFonts w:hint="eastAsia"/>
          <w:spacing w:val="6"/>
          <w:lang w:val="en-US" w:eastAsia="zh-CN"/>
        </w:rPr>
        <w:t>重叠政策中</w:t>
      </w:r>
      <w:r>
        <w:rPr>
          <w:spacing w:val="6"/>
          <w:lang w:eastAsia="zh-CN"/>
        </w:rPr>
        <w:t>涉及上级要求高新区配套</w:t>
      </w:r>
      <w:r>
        <w:rPr>
          <w:rFonts w:hint="eastAsia"/>
          <w:spacing w:val="6"/>
          <w:lang w:val="en-US" w:eastAsia="zh-CN"/>
        </w:rPr>
        <w:t>的</w:t>
      </w:r>
      <w:r>
        <w:rPr>
          <w:spacing w:val="6"/>
          <w:lang w:eastAsia="zh-CN"/>
        </w:rPr>
        <w:t>，</w:t>
      </w:r>
      <w:r>
        <w:rPr>
          <w:rFonts w:hint="eastAsia"/>
          <w:spacing w:val="6"/>
          <w:lang w:val="en-US" w:eastAsia="zh-CN"/>
        </w:rPr>
        <w:t>本政策高新区本级支持金额计入高新区配套部分</w:t>
      </w:r>
      <w:r>
        <w:rPr>
          <w:spacing w:val="4"/>
          <w:lang w:eastAsia="zh-CN"/>
        </w:rPr>
        <w:t>。</w:t>
      </w:r>
    </w:p>
    <w:p w14:paraId="7A0A59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firstLine="66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本政策由乐山高新区管委会负责解释，具体由乐山高新区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经济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合作局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办理。本政策自202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施行，有效期3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年。</w:t>
      </w:r>
    </w:p>
    <w:p w14:paraId="77CDE997">
      <w:pPr>
        <w:kinsoku/>
        <w:adjustRightInd/>
        <w:spacing w:before="120" w:line="600" w:lineRule="exact"/>
        <w:rPr>
          <w:rFonts w:hint="eastAsia" w:ascii="黑体" w:hAnsi="黑体" w:eastAsia="黑体" w:cs="黑体"/>
          <w:spacing w:val="4"/>
          <w:sz w:val="31"/>
          <w:szCs w:val="31"/>
          <w:lang w:eastAsia="zh-CN"/>
        </w:rPr>
      </w:pPr>
    </w:p>
    <w:p w14:paraId="07D67A9D">
      <w:pPr>
        <w:tabs>
          <w:tab w:val="left" w:pos="6091"/>
        </w:tabs>
        <w:rPr>
          <w:rFonts w:eastAsia="宋体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720" w:footer="720" w:gutter="113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91D8A">
    <w:pPr>
      <w:spacing w:line="234" w:lineRule="auto"/>
      <w:ind w:left="7584"/>
      <w:rPr>
        <w:rFonts w:hint="eastAsia"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—1—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DF846"/>
    <w:multiLevelType w:val="singleLevel"/>
    <w:tmpl w:val="9BEDF8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17CD"/>
    <w:rsid w:val="00056AA9"/>
    <w:rsid w:val="000A59AF"/>
    <w:rsid w:val="00391403"/>
    <w:rsid w:val="003A5BA5"/>
    <w:rsid w:val="003C2682"/>
    <w:rsid w:val="004D001A"/>
    <w:rsid w:val="0060330A"/>
    <w:rsid w:val="006A09D3"/>
    <w:rsid w:val="007113F7"/>
    <w:rsid w:val="00837A1E"/>
    <w:rsid w:val="00855F54"/>
    <w:rsid w:val="00920E86"/>
    <w:rsid w:val="009C2014"/>
    <w:rsid w:val="00E96836"/>
    <w:rsid w:val="00F91CCD"/>
    <w:rsid w:val="030173B3"/>
    <w:rsid w:val="03065D42"/>
    <w:rsid w:val="03465BED"/>
    <w:rsid w:val="044F462F"/>
    <w:rsid w:val="05793C8D"/>
    <w:rsid w:val="06572BE7"/>
    <w:rsid w:val="07F4584C"/>
    <w:rsid w:val="096F2506"/>
    <w:rsid w:val="0AA54ECA"/>
    <w:rsid w:val="0B790D33"/>
    <w:rsid w:val="0CCC472A"/>
    <w:rsid w:val="0DF70178"/>
    <w:rsid w:val="0EA226F8"/>
    <w:rsid w:val="0EB97AEE"/>
    <w:rsid w:val="0F190E46"/>
    <w:rsid w:val="0FE027C1"/>
    <w:rsid w:val="12F714BE"/>
    <w:rsid w:val="13A15435"/>
    <w:rsid w:val="13BA19D7"/>
    <w:rsid w:val="14985E63"/>
    <w:rsid w:val="15CC6A4F"/>
    <w:rsid w:val="1783099B"/>
    <w:rsid w:val="185D2F9A"/>
    <w:rsid w:val="18925339"/>
    <w:rsid w:val="18F4137B"/>
    <w:rsid w:val="193479D7"/>
    <w:rsid w:val="19821606"/>
    <w:rsid w:val="19843678"/>
    <w:rsid w:val="19B72B7E"/>
    <w:rsid w:val="1A302507"/>
    <w:rsid w:val="1AFC2649"/>
    <w:rsid w:val="1BBD125A"/>
    <w:rsid w:val="1DA63635"/>
    <w:rsid w:val="1F0A7F07"/>
    <w:rsid w:val="1FC26D2F"/>
    <w:rsid w:val="211132C0"/>
    <w:rsid w:val="22210112"/>
    <w:rsid w:val="23B143CE"/>
    <w:rsid w:val="25B94C75"/>
    <w:rsid w:val="26795F50"/>
    <w:rsid w:val="27420F6B"/>
    <w:rsid w:val="2A513AEC"/>
    <w:rsid w:val="2B0B0BF4"/>
    <w:rsid w:val="2CD81465"/>
    <w:rsid w:val="2F896396"/>
    <w:rsid w:val="30C11BFC"/>
    <w:rsid w:val="30D25FB3"/>
    <w:rsid w:val="34713BFD"/>
    <w:rsid w:val="364A74FB"/>
    <w:rsid w:val="36A857BA"/>
    <w:rsid w:val="393C2A8B"/>
    <w:rsid w:val="3B115A43"/>
    <w:rsid w:val="3CED249E"/>
    <w:rsid w:val="3DE20AE3"/>
    <w:rsid w:val="3DF33480"/>
    <w:rsid w:val="3F2F29A4"/>
    <w:rsid w:val="406960D0"/>
    <w:rsid w:val="40D21EC7"/>
    <w:rsid w:val="41A05B22"/>
    <w:rsid w:val="421474AC"/>
    <w:rsid w:val="43611467"/>
    <w:rsid w:val="444941FA"/>
    <w:rsid w:val="445E1225"/>
    <w:rsid w:val="45B93656"/>
    <w:rsid w:val="47337EDD"/>
    <w:rsid w:val="47CB122D"/>
    <w:rsid w:val="4C19005F"/>
    <w:rsid w:val="4D003B5E"/>
    <w:rsid w:val="4E56172D"/>
    <w:rsid w:val="4FD37F31"/>
    <w:rsid w:val="50CE7240"/>
    <w:rsid w:val="51D610EC"/>
    <w:rsid w:val="53CD1E8A"/>
    <w:rsid w:val="58F934C4"/>
    <w:rsid w:val="5A0160AF"/>
    <w:rsid w:val="5A1A2B4D"/>
    <w:rsid w:val="5AD71CBD"/>
    <w:rsid w:val="5B254356"/>
    <w:rsid w:val="5B536B7B"/>
    <w:rsid w:val="5E1E3B31"/>
    <w:rsid w:val="61024E44"/>
    <w:rsid w:val="635F2C96"/>
    <w:rsid w:val="642541FE"/>
    <w:rsid w:val="647E4819"/>
    <w:rsid w:val="64D836A1"/>
    <w:rsid w:val="669578CE"/>
    <w:rsid w:val="684626D0"/>
    <w:rsid w:val="69930570"/>
    <w:rsid w:val="6B393680"/>
    <w:rsid w:val="6B5C52B4"/>
    <w:rsid w:val="6CCA6183"/>
    <w:rsid w:val="704663D9"/>
    <w:rsid w:val="704A4F50"/>
    <w:rsid w:val="70AB7A85"/>
    <w:rsid w:val="70CE5958"/>
    <w:rsid w:val="724A4B38"/>
    <w:rsid w:val="73673DF0"/>
    <w:rsid w:val="76C068B1"/>
    <w:rsid w:val="770D4BBF"/>
    <w:rsid w:val="781A1483"/>
    <w:rsid w:val="78520C9B"/>
    <w:rsid w:val="78E470D9"/>
    <w:rsid w:val="7AE334D1"/>
    <w:rsid w:val="7B8A3C04"/>
    <w:rsid w:val="7C7320A7"/>
    <w:rsid w:val="7E4917CD"/>
    <w:rsid w:val="7E843AFA"/>
    <w:rsid w:val="7EDC687C"/>
    <w:rsid w:val="7F005671"/>
    <w:rsid w:val="7F7861EE"/>
    <w:rsid w:val="7FD6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60" w:beforeAutospacing="1" w:afterAutospacing="1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outlineLvl w:val="2"/>
    </w:pPr>
    <w:rPr>
      <w:rFonts w:eastAsia="楷体_GB231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semiHidden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2125</Words>
  <Characters>2227</Characters>
  <Lines>29</Lines>
  <Paragraphs>8</Paragraphs>
  <TotalTime>2</TotalTime>
  <ScaleCrop>false</ScaleCrop>
  <LinksUpToDate>false</LinksUpToDate>
  <CharactersWithSpaces>2231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2025-04-17T07:11:00Z</dcterms:created>
  <dc:creator>HenryWan</dc:creator>
  <cp:lastModifiedBy>吃货何必为难吃货</cp:lastModifiedBy>
  <cp:lastPrinted>2025-10-30T07:21:00Z</cp:lastPrinted>
  <dcterms:modified xsi:type="dcterms:W3CDTF">2025-11-13T06:34:59Z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20A897D8305344548A8F20953C02E7F2_13</vt:lpwstr>
  </property>
  <property fmtid="{D5CDD505-2E9C-101B-9397-08002B2CF9AE}" pid="4" name="KSOTemplateDocerSaveRecord">
    <vt:lpwstr>eyJoZGlkIjoiZjgzNTRjZTkxYTBkNGJhNjUxNmQ4MTJjNTE0MDRjZjAiLCJ1c2VySWQiOiI0MTk5NTE2OTEifQ==</vt:lpwstr>
  </property>
</Properties>
</file>