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“8·18”特大洪涝灾害老江坝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搬迁安置方案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为认真贯彻落实省、市对“8·18”特大洪涝灾害灾后重建工作总体安排和乐山市委、市政府有关决策部署，根据《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城乡规划法》《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突发事件应对法》《城市危险房屋管理规定》等法律法规，拟对老江坝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进行搬迁。为保障搬迁群众利益，结合高新区实际，特制定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一、搬迁范围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老江坝整体区域。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搬迁人</w:t>
      </w:r>
      <w:r>
        <w:rPr>
          <w:rFonts w:hint="default" w:ascii="Times New Roman" w:hAnsi="Times New Roman" w:eastAsia="黑体" w:cs="Times New Roman"/>
          <w:sz w:val="32"/>
          <w:szCs w:val="32"/>
        </w:rPr>
        <w:t>与被搬迁人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：安谷镇人民政府。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（二）被搬迁人：被搬迁房屋的所有权人（以户为单位）。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三、搬迁安置协议及搬迁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（一）签约期限：自本方案公告之日起60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日历天。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（二）搬迁期限：协议签订之日起15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日历天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搬迁人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与被搬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在签约期限内签订搬迁安置协议（以下简称协议），被搬迁人在搬迁期限内办理搬迁腾退手续。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）对已签订协议但未在搬迁期限内办理搬迁腾退手续的被搬迁人，由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搬迁人依法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搬迁并追究法律责任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四、搬迁补偿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搬迁补偿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范围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为被搬迁人宅地基上的房屋、地上构筑物及其他附属设施。搬迁补偿标准具体如下：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（一）搬迁主体房屋按以下标准予以补偿。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主体房屋补偿费标准</w:t>
      </w:r>
    </w:p>
    <w:tbl>
      <w:tblPr>
        <w:tblStyle w:val="5"/>
        <w:tblW w:w="9033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283"/>
        <w:gridCol w:w="3588"/>
        <w:gridCol w:w="1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0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序号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补偿项目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补偿标准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（元/平方米）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064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钢结构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1200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064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钢混结构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1100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064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砖混（现浇） 结构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950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064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砖混（预制） 结构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850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064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砖木结构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700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064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土木、木结构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600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064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328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其他结构</w:t>
            </w:r>
          </w:p>
        </w:tc>
        <w:tc>
          <w:tcPr>
            <w:tcW w:w="358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200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topLinePunct/>
        <w:spacing w:line="60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（二）地上构筑物及其他附属设施按以下标准予以补偿。</w:t>
      </w:r>
    </w:p>
    <w:p>
      <w:pPr>
        <w:topLinePunct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地上构筑物及其他附属设施补偿费标准</w:t>
      </w:r>
    </w:p>
    <w:tbl>
      <w:tblPr>
        <w:tblStyle w:val="5"/>
        <w:tblW w:w="8990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91"/>
        <w:gridCol w:w="2740"/>
        <w:gridCol w:w="1271"/>
        <w:gridCol w:w="1743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序号</w:t>
            </w:r>
          </w:p>
        </w:tc>
        <w:tc>
          <w:tcPr>
            <w:tcW w:w="4231" w:type="dxa"/>
            <w:gridSpan w:val="2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补偿项目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单位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补偿标准（元）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围墙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乱石垒、土围墙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250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砖、石围墙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院（晒）坝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三合土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30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砖、石、水泥砂浆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土坝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石板坝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堡坎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石堡坎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160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砼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砖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160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水缸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口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200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5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地窖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口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200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6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粪池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土粪池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25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水泥、三合土粪池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条石粪池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7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水池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砣石、条石池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60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石砌、砖砌、混凝土池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造型水池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8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水井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土水井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口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200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条石水井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口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压水井（含机械取水）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口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机井(含抗旱井)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口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1800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9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灶台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土灶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眼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300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红砖砌灶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眼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350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瓷砖灶、水泥灶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眼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节能灶（含设施）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眼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10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水管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钢管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5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胶管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沼气池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口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3000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12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粮仓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60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13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砖、石、混凝土柜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60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14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排灌沟渠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衬砌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120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未衬砌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720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15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围墙大门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铁大门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720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木大门</w:t>
            </w:r>
          </w:p>
        </w:tc>
        <w:tc>
          <w:tcPr>
            <w:tcW w:w="1271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1025" w:type="dxa"/>
            <w:vAlign w:val="center"/>
          </w:tcPr>
          <w:p>
            <w:pPr>
              <w:topLinePunct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16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水塔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立方米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300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17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彩钢房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18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小青瓦附属房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200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72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19</w:t>
            </w:r>
          </w:p>
        </w:tc>
        <w:tc>
          <w:tcPr>
            <w:tcW w:w="149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石棉瓦附属房</w:t>
            </w:r>
          </w:p>
        </w:tc>
        <w:tc>
          <w:tcPr>
            <w:tcW w:w="2740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平方米</w:t>
            </w:r>
          </w:p>
        </w:tc>
        <w:tc>
          <w:tcPr>
            <w:tcW w:w="1743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  <w:t>100</w:t>
            </w:r>
          </w:p>
        </w:tc>
        <w:tc>
          <w:tcPr>
            <w:tcW w:w="1025" w:type="dxa"/>
            <w:vAlign w:val="center"/>
          </w:tcPr>
          <w:p>
            <w:pPr>
              <w:pStyle w:val="7"/>
              <w:topLinePunct/>
              <w:rPr>
                <w:rFonts w:hint="default" w:ascii="Times New Roman" w:hAnsi="Times New Roman" w:cs="Times New Roman"/>
                <w:kern w:val="0"/>
                <w:sz w:val="24"/>
                <w:lang w:val="en-US" w:bidi="ar-SA"/>
              </w:rPr>
            </w:pPr>
          </w:p>
        </w:tc>
      </w:tr>
    </w:tbl>
    <w:p>
      <w:pPr>
        <w:topLinePunct/>
        <w:spacing w:line="60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（三）主体房装饰装修按以下标准予以补偿。 </w:t>
      </w:r>
    </w:p>
    <w:p>
      <w:pPr>
        <w:topLinePunct/>
        <w:jc w:val="center"/>
        <w:rPr>
          <w:rFonts w:hint="default" w:ascii="Times New Roman" w:hAnsi="Times New Roman" w:eastAsia="黑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主体房装饰装修补偿费标准</w:t>
      </w:r>
    </w:p>
    <w:tbl>
      <w:tblPr>
        <w:tblStyle w:val="5"/>
        <w:tblW w:w="924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4275"/>
        <w:gridCol w:w="154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装饰装修项目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补偿标准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（元/平方米）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指高档、豪华装饰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1.地面装饰：实木地板，或花岗石地板，或0.8米×0.8米规格以上的抛光地砖。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2.墙面：外墙瓷砖、室内进口乳胶漆或高档墙布和墙纸。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3.相配套的高级吊顶和厨卫门窗。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150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1.装饰面积以产权面积为依据，按实际装饰的地面面积计算。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2.装饰以10年为基准，10年以上不予补偿。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3.有外墙装饰以产权面积计算。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指中档装饰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1.地面装饰：0.5米×0.5米至0.6米×0.6米规格的抛光地砖。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2.墙面：中等价位的乳胶漆。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3.相配套的中等级吊顶和厨卫门窗。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指一般装饰（简单装修）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1.地面装饰：地砖或水磨石地面。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2.墙面：仿瓷涂料或喷塑。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被搬迁人不按时搬迁的，不作此类补偿。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利用合法取得的宅基地修（改）建的营业用房，未经合法程序批准改变土地用途，被搬迁人办理了营业执照和税务登记且有实际纳税凭据的，分别按前述（一）、（二）、（三）款规定标准进行补偿，并按80元/平方米的标准一次性计发停产停业损失补偿；经合法程序批准改变土地用途，被搬迁人办理了营业执照和税务登记且有实际纳税凭据的，按房屋评估价（不含土地价格）进行补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）被搬迁房屋涉及的原有水、电、气、光纤户头，按物价部门核定的价格给予一次性补偿。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）本方案公告前修建的农家乐房屋、养殖业房屋及其设施，分别按前述（一）、（二）、（三）款规定标准进行补偿，并按主体房屋面积20元/平方米的标准一次性计发停产停业损失补偿。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）依法应予补偿的其他不动产，本方案未规定具体补偿标准的，由高新区财政投资评审中心会同有关单位评审，经高新区管委会批准后予以补偿。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）搬迁期限内办理搬迁腾退手续的，按被搬迁主体房屋建筑面积20元/平方米标准一次性计发2次搬迁费；对被搬迁人实施限期强制搬迁的，只计发1次搬迁费。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五、搬迁安置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搬迁安置采取住房货币化安置。住房货币化安置是指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将被搬迁人应享受安置住房面积换算成安置资金（住房货币化安置费），由被搬迁人使用安置资金在乐山高新区范围内购买商品住房安置。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（一）搬迁安置对象。符合以下条件的计入搬迁安置对象（以下称安置人员）：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常住户口在搬迁范围内的农村集体经济组织成员（以搬迁公告之日为基准日确定）及其因依法婚嫁、生育而登记入户的人员；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原常住户口在本集体经济组织的现役士兵（义务兵、下士、中士）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原常住户口在搬迁范围内的各类在校学生；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原常住户口在搬迁范围内的监狱服刑人员；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符合政策回乡落户的干部、职工、城镇居民和华侨、港澳台同胞等；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参照征地拆迁，符合法律、法规和政策规定应当计入的其他人员。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常住户口在搬迁范围内，没有承包地、非农村集体经济组织成员，以及寄居、寄养、寄读人员（空挂户口情形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），不计入搬迁安置对象（以下称常住非安置人员）。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住房货币化安置费。安置人员应享受安置住房面积（以下称住房货币化安置面积）标准为35平方米/人，住房货币化安置单价为2550元/平方米。住房货币化安置费＝住房货币化安置面积×住房货币化安置单价，即8.925万元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（三）过渡费。安置人员按200元/人·月标准一次性计发12个月过渡费；常住非安置人员按被搬迁主体房屋建筑面积4元/平方米·月标准一次性计发6个月过渡费。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（一）签约奖励。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签约期限内签订协议的，安置人员按1000元/人标准一次性计发签约奖励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（二）搬迁腾退奖励。搬迁期限内办理搬迁腾退手续的，按房屋（主体房+附属房）补偿费总额的10%计发搬迁腾退奖励；未在搬迁期限内办理搬迁腾退手续，不予计发搬迁腾退奖励。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（三）货币安置奖励。签约期限内签订协议的，安置人员按2.6万元/人标准一次性计发货币安置奖励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（四）购房奖励。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被搬迁人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日起至收到搬迁补偿安置费后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个月内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，在乐山高新区范围内购买了商品住房的（不得购买小产权房，下同），安置人员按4万元/人标准一次性计发购房奖励；未在乐山高新区范围内新购商品住房的，不予计发购房奖励。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七、搬迁补偿安置费的核发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搬迁补偿安置费＝搬迁补偿费＋搬迁安置费＋奖励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搬迁补偿费＝主体房屋补偿费＋地上构筑物及其他附属设施补偿费＋主体房装饰装修补偿费＋停产停业损失费＋水电气户头费＋搬迁费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搬迁安置费＝住房货币化安置费＋过渡费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奖励＝签约奖励＋搬迁腾退奖励＋货币安置奖励＋购房奖励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按要求购买商品房者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被搬迁人在协议签订后在乐山高新区范围内购买了商品住房的，被搬迁人提交经房地产管理部门网签备案（不可撤销备案）的《商品房买卖合同》及备案登记表，并签订承诺书，承诺今后不再因征地而提出任何宅基地上房屋、地上构筑物及其他附属设施拆迁补偿和人员住房安置要求，经审核完毕后十五个工作日内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将除购房奖励外的其他搬迁补偿安置费支付给被搬迁人；被搬迁人所购房屋取得《不动产权证》，经审核完毕后十五个工作日内，由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将购房奖励支付给被搬迁人。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被搬迁人在他处拥有合法产权商品住房，申请直接领取搬迁补偿安置费的，被搬迁人提交商品住房《房屋所有权证》和《国有土地使用权证》或商品住房《不动产权证》，并签订承诺书，承诺今后不再因征地而提出任何宅基地上房屋、地上构筑物及其他附属设施拆迁补偿和人员安置要求，经审核完毕后十五个工作日内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将搬迁补偿安置费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不含购房奖励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支付给被搬迁人。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、本方案由乐山高新区“8·18”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特大洪涝灾害灾后恢复重建指挥部负责解释。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信息公开选项：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主动公开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304" w:gutter="0"/>
      <w:pgNumType w:fmt="decimal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29032F4C"/>
    <w:rsid w:val="2903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2022-11-29T03:58:00Z</dcterms:created>
  <dc:creator>小小四 </dc:creator>
  <cp:lastModifiedBy>小小四 </cp:lastModifiedBy>
  <dcterms:modified xsi:type="dcterms:W3CDTF">2022-11-29T03:59:04Z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0ED89EE246034B37BD0CB71FFB578885</vt:lpwstr>
  </property>
</Properties>
</file>