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长城小标宋体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eastAsia="长城小标宋体" w:cs="Times New Roman"/>
          <w:b/>
          <w:sz w:val="36"/>
          <w:szCs w:val="36"/>
        </w:rPr>
        <w:t>挑战须知</w:t>
      </w:r>
      <w:bookmarkEnd w:id="0"/>
    </w:p>
    <w:p>
      <w:pPr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一、挑战资格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凡遵守我国相关法律法规及挑战赛规则，具有一定研发能力的高等院校、研究机构、企业、自然人均可报名挑战。</w:t>
      </w: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二、政策支持</w:t>
      </w:r>
    </w:p>
    <w:p>
      <w:pPr>
        <w:ind w:firstLine="636" w:firstLineChars="19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对参与挑战并成功签约的项目，符合条件的优先纳入市科技计划给予支持，提供高新技术企业认定、技术转移及投融资对接服务，并对项目进行长期跟踪和效果评价，建立长效机制。</w:t>
      </w: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三、挑战文件的编制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1.文件编写。挑战文件一律以中文编写，语言要求精练，所提供的数据真实、完整、可靠，并严格按照《挑战报名表》中规定的要求、格式、项目内容与目标等信息进行编写。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2.文件的装订格式。要求所提供的挑战文件一律用A4纸打印并密封。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3.挑战文件构成。挑战报告表，相关附件。</w:t>
      </w: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四、现场挑战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1.挑战时间：拟定于2022年10月中旬举行。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2.挑战地点：乐山国家高新区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3.挑战形式：现场比拼、竞争对接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4.挑战内容：挑战者现场就解决方案、实施方案、项目报价、技术目标等主要内容进行技术说明，并与需求方进行现场交流、对接、洽谈。挑战人或团队负责人在挑战纪录上签字。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5.挑战次序：现场抽签决定。</w:t>
      </w: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五、评审机制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1.专家组评审。至少包含1名需求方专家作为评审专家，参与评审。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2.评审工作要求。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（l）应严格遵循客观、公平、公正、科学、择优的原则。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（2）评审专家和单位根据挑战文件，采取定性、定量相结合的方法，对挑战人的技术方案进行评价，通过技术、经济风险分析、承担能力与工作基础评价等，对挑战者进行综合排名。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3.评审结论当场公布。</w:t>
      </w: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六、比赛奖励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为进一步提高赛事规格和影响，乐山高新区</w:t>
      </w:r>
      <w:r>
        <w:rPr>
          <w:rFonts w:ascii="Times New Roman" w:hAnsi="Times New Roman" w:eastAsia="仿宋_GB2312" w:cs="Times New Roman"/>
          <w:sz w:val="32"/>
          <w:szCs w:val="32"/>
        </w:rPr>
        <w:t>设立特等奖3名、优秀奖5名，分别按照10万元、3万元的额度对优质项目团队进行奖励；通过现场挑战赛和需求对接会成功实现技术需求对接、签订合同的技术并与乐山高新区企业形成产学研合作的项目，根据评审结果，以合同金额的10%在大赛结束后的下一年度给予资助，最高不超过20万元。</w:t>
      </w: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七、合作签约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由需求方确定合作单位，并签订合作协议。完成技术合同登记可享受相关优惠政策。形成的产学研合作项目可申请地方科技计划优先支持。</w:t>
      </w:r>
    </w:p>
    <w:p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八、其他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本挑战须知由中国创新挑战赛（四川）新能源产业赛乐山赛区赛委会负责解释。其中未尽事宜，可在执行过程中补充修正。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32894743"/>
    <w:rsid w:val="328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2022-07-21T09:43:00Z</dcterms:created>
  <dc:creator>小小四 </dc:creator>
  <cp:lastModifiedBy>小小四 </cp:lastModifiedBy>
  <dcterms:modified xsi:type="dcterms:W3CDTF">2022-07-21T09:43:13Z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625285075F594CA5A4A971C7741E7F8A</vt:lpwstr>
  </property>
</Properties>
</file>